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AA" w:rsidRPr="00B060F3" w:rsidRDefault="00B956AA" w:rsidP="00B956AA">
      <w:pPr>
        <w:pStyle w:val="ListParagraph"/>
        <w:suppressAutoHyphens w:val="0"/>
        <w:ind w:left="0"/>
        <w:jc w:val="both"/>
        <w:rPr>
          <w:b/>
          <w:bCs/>
          <w:lang w:val="en-GB"/>
        </w:rPr>
      </w:pPr>
      <w:bookmarkStart w:id="0" w:name="_GoBack"/>
      <w:r w:rsidRPr="00B060F3">
        <w:rPr>
          <w:b/>
          <w:bCs/>
          <w:lang w:val="en-GB"/>
        </w:rPr>
        <w:t>SAARC Arbitration Council (SARCO)</w:t>
      </w:r>
    </w:p>
    <w:bookmarkEnd w:id="0"/>
    <w:p w:rsidR="00B956AA" w:rsidRPr="00B060F3" w:rsidRDefault="00B956AA" w:rsidP="00B956AA">
      <w:pPr>
        <w:pStyle w:val="ListParagraph"/>
        <w:suppressAutoHyphens w:val="0"/>
        <w:ind w:left="0"/>
        <w:jc w:val="both"/>
        <w:rPr>
          <w:bCs/>
          <w:lang w:val="en-GB"/>
        </w:rPr>
      </w:pPr>
    </w:p>
    <w:p w:rsidR="00B956AA" w:rsidRPr="00B060F3" w:rsidRDefault="00B956AA" w:rsidP="00B956AA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>The Agreement for Establishment of SAARC Arbitration Council was signed during the Thirteenth SAARC Summit (Dhaka, 12-13 November 2005).</w:t>
      </w:r>
    </w:p>
    <w:p w:rsidR="00B956AA" w:rsidRPr="00B060F3" w:rsidRDefault="00B956AA" w:rsidP="00B956AA">
      <w:pPr>
        <w:pStyle w:val="ListParagraph"/>
        <w:suppressAutoHyphens w:val="0"/>
        <w:ind w:left="0"/>
        <w:jc w:val="both"/>
        <w:rPr>
          <w:bCs/>
          <w:lang w:val="en-GB"/>
        </w:rPr>
      </w:pPr>
    </w:p>
    <w:p w:rsidR="00B956AA" w:rsidRPr="00B060F3" w:rsidRDefault="00B956AA" w:rsidP="00B956AA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 xml:space="preserve"> SAARC Arbitration Council commenced its operations in Islamabad with the appointment of the first Director General with effect from 1 September 2010. Seven Meetings of the Governing Board of SARCO have been held so far. SARCO is in the process of expanding the panel of arbitrators.</w:t>
      </w:r>
    </w:p>
    <w:p w:rsidR="00B956AA" w:rsidRPr="00B060F3" w:rsidRDefault="00B956AA" w:rsidP="00B956AA">
      <w:pPr>
        <w:tabs>
          <w:tab w:val="left" w:pos="-720"/>
        </w:tabs>
        <w:suppressAutoHyphens/>
        <w:jc w:val="both"/>
        <w:rPr>
          <w:bCs/>
          <w:spacing w:val="-3"/>
          <w:lang w:val="en-GB"/>
        </w:rPr>
      </w:pPr>
    </w:p>
    <w:p w:rsidR="00B956AA" w:rsidRPr="00B060F3" w:rsidRDefault="00B956AA" w:rsidP="00B956AA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>As per Article II of the Agreement for Establishment of SAARC Arbitration Council, its objectives and functions are as follows: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B060F3">
        <w:rPr>
          <w:lang w:val="en-GB"/>
        </w:rPr>
        <w:t> 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>(a)</w:t>
      </w:r>
      <w:r w:rsidRPr="00B060F3">
        <w:rPr>
          <w:color w:val="800080"/>
          <w:lang w:val="en-GB"/>
        </w:rPr>
        <w:tab/>
      </w:r>
      <w:r w:rsidRPr="00B060F3">
        <w:rPr>
          <w:lang w:val="en-GB"/>
        </w:rPr>
        <w:t>provide a legal framework within the region for fair and efficient settlement through conciliation and arbitration of commercial, investment and such other disputes as may be referred to the Council by agreement;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 xml:space="preserve"> (b)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promote</w:t>
      </w:r>
      <w:proofErr w:type="gramEnd"/>
      <w:r w:rsidRPr="00B060F3">
        <w:rPr>
          <w:lang w:val="en-GB"/>
        </w:rPr>
        <w:t xml:space="preserve"> the growth and effective functioning of national arbitration institutions within the region;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 xml:space="preserve">(c) 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provide</w:t>
      </w:r>
      <w:proofErr w:type="gramEnd"/>
      <w:r w:rsidRPr="00B060F3">
        <w:rPr>
          <w:lang w:val="en-GB"/>
        </w:rPr>
        <w:t xml:space="preserve"> fair, inexpensive and expeditious arbitration in the region;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 xml:space="preserve">(d)    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promote</w:t>
      </w:r>
      <w:proofErr w:type="gramEnd"/>
      <w:r w:rsidRPr="00B060F3">
        <w:rPr>
          <w:lang w:val="en-GB"/>
        </w:rPr>
        <w:t xml:space="preserve"> international conciliation  and arbitration in the region;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70" w:hanging="690"/>
        <w:jc w:val="both"/>
        <w:rPr>
          <w:strike/>
          <w:lang w:val="en-GB"/>
        </w:rPr>
      </w:pPr>
      <w:r w:rsidRPr="00B060F3">
        <w:rPr>
          <w:lang w:val="en-GB"/>
        </w:rPr>
        <w:t>(e)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provide</w:t>
      </w:r>
      <w:proofErr w:type="gramEnd"/>
      <w:r w:rsidRPr="00B060F3">
        <w:rPr>
          <w:lang w:val="en-GB"/>
        </w:rPr>
        <w:t xml:space="preserve"> facilities for conciliation and arbitration; 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B060F3">
        <w:rPr>
          <w:lang w:val="en-GB"/>
        </w:rPr>
        <w:tab/>
        <w:t xml:space="preserve"> (f)  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act</w:t>
      </w:r>
      <w:proofErr w:type="gramEnd"/>
      <w:r w:rsidRPr="00B060F3">
        <w:rPr>
          <w:lang w:val="en-GB"/>
        </w:rPr>
        <w:t xml:space="preserve"> as a co-ordinating agency in the SAARC dispute resolution system;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> (g)   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coordinate</w:t>
      </w:r>
      <w:proofErr w:type="gramEnd"/>
      <w:r w:rsidRPr="00B060F3">
        <w:rPr>
          <w:lang w:val="en-GB"/>
        </w:rPr>
        <w:t xml:space="preserve"> the activities of and assist existing institutions concerned with arbitration, particularly those in the region;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 xml:space="preserve"> (h)   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render</w:t>
      </w:r>
      <w:proofErr w:type="gramEnd"/>
      <w:r w:rsidRPr="00B060F3">
        <w:rPr>
          <w:lang w:val="en-GB"/>
        </w:rPr>
        <w:t xml:space="preserve"> assistance in the conduct of ad hoc arbitration proceedings;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> (</w:t>
      </w:r>
      <w:proofErr w:type="spellStart"/>
      <w:proofErr w:type="gramStart"/>
      <w:r w:rsidRPr="00B060F3">
        <w:rPr>
          <w:lang w:val="en-GB"/>
        </w:rPr>
        <w:t>i</w:t>
      </w:r>
      <w:proofErr w:type="spellEnd"/>
      <w:proofErr w:type="gramEnd"/>
      <w:r w:rsidRPr="00B060F3">
        <w:rPr>
          <w:lang w:val="en-GB"/>
        </w:rPr>
        <w:t>)    </w:t>
      </w:r>
      <w:r w:rsidRPr="00B060F3">
        <w:rPr>
          <w:lang w:val="en-GB"/>
        </w:rPr>
        <w:tab/>
        <w:t>assist in the enforcement of arbitral awards;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> (j)   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maintain</w:t>
      </w:r>
      <w:proofErr w:type="gramEnd"/>
      <w:r w:rsidRPr="00B060F3">
        <w:rPr>
          <w:lang w:val="en-GB"/>
        </w:rPr>
        <w:t xml:space="preserve"> registers/panels of: 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/>
        <w:jc w:val="both"/>
        <w:rPr>
          <w:lang w:val="en-GB"/>
        </w:rPr>
      </w:pPr>
      <w:r w:rsidRPr="00B060F3">
        <w:rPr>
          <w:lang w:val="en-GB"/>
        </w:rPr>
        <w:t>(</w:t>
      </w:r>
      <w:proofErr w:type="spellStart"/>
      <w:r w:rsidRPr="00B060F3">
        <w:rPr>
          <w:lang w:val="en-GB"/>
        </w:rPr>
        <w:t>i</w:t>
      </w:r>
      <w:proofErr w:type="spellEnd"/>
      <w:r w:rsidRPr="00B060F3">
        <w:rPr>
          <w:lang w:val="en-GB"/>
        </w:rPr>
        <w:t>)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expert</w:t>
      </w:r>
      <w:proofErr w:type="gramEnd"/>
      <w:r w:rsidRPr="00B060F3">
        <w:rPr>
          <w:lang w:val="en-GB"/>
        </w:rPr>
        <w:t xml:space="preserve"> witnesses, and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2160" w:hanging="720"/>
        <w:jc w:val="both"/>
        <w:rPr>
          <w:lang w:val="en-GB"/>
        </w:rPr>
      </w:pPr>
      <w:r w:rsidRPr="00B060F3">
        <w:rPr>
          <w:lang w:val="en-GB"/>
        </w:rPr>
        <w:t>(ii)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suitably</w:t>
      </w:r>
      <w:proofErr w:type="gramEnd"/>
      <w:r w:rsidRPr="00B060F3">
        <w:rPr>
          <w:lang w:val="en-GB"/>
        </w:rPr>
        <w:t xml:space="preserve"> qualified persons to act as arbitrators as and when required; and</w:t>
      </w:r>
    </w:p>
    <w:p w:rsidR="00B956AA" w:rsidRPr="00B060F3" w:rsidRDefault="00B956AA" w:rsidP="00B956AA">
      <w:pPr>
        <w:pStyle w:val="NormalWeb"/>
        <w:spacing w:before="0" w:beforeAutospacing="0" w:after="0" w:afterAutospacing="0"/>
        <w:ind w:left="1440" w:hanging="690"/>
        <w:jc w:val="both"/>
        <w:rPr>
          <w:lang w:val="en-GB"/>
        </w:rPr>
      </w:pPr>
      <w:r w:rsidRPr="00B060F3">
        <w:rPr>
          <w:lang w:val="en-GB"/>
        </w:rPr>
        <w:t> (k)   </w:t>
      </w:r>
      <w:r w:rsidRPr="00B060F3">
        <w:rPr>
          <w:lang w:val="en-GB"/>
        </w:rPr>
        <w:tab/>
      </w:r>
      <w:proofErr w:type="gramStart"/>
      <w:r w:rsidRPr="00B060F3">
        <w:rPr>
          <w:lang w:val="en-GB"/>
        </w:rPr>
        <w:t>carry</w:t>
      </w:r>
      <w:proofErr w:type="gramEnd"/>
      <w:r w:rsidRPr="00B060F3">
        <w:rPr>
          <w:lang w:val="en-GB"/>
        </w:rPr>
        <w:t xml:space="preserve"> out such other activities as are conducive or incidental to its functions.</w:t>
      </w:r>
    </w:p>
    <w:p w:rsidR="00B956AA" w:rsidRPr="00B060F3" w:rsidRDefault="00B956AA" w:rsidP="00B956AA">
      <w:pPr>
        <w:tabs>
          <w:tab w:val="left" w:pos="-720"/>
        </w:tabs>
        <w:suppressAutoHyphens/>
        <w:jc w:val="both"/>
        <w:rPr>
          <w:bCs/>
          <w:spacing w:val="-3"/>
          <w:lang w:val="en-GB"/>
        </w:rPr>
      </w:pPr>
    </w:p>
    <w:p w:rsidR="00B956AA" w:rsidRPr="00B060F3" w:rsidRDefault="00B956AA" w:rsidP="00B956AA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 xml:space="preserve">Mr. </w:t>
      </w:r>
      <w:proofErr w:type="spellStart"/>
      <w:r w:rsidRPr="00B060F3">
        <w:rPr>
          <w:rFonts w:eastAsia="Times New Roman"/>
          <w:bCs/>
          <w:color w:val="222222"/>
          <w:lang w:val="en-GB"/>
        </w:rPr>
        <w:t>Thusantha</w:t>
      </w:r>
      <w:proofErr w:type="spellEnd"/>
      <w:r w:rsidRPr="00B060F3">
        <w:rPr>
          <w:rFonts w:eastAsia="Times New Roman"/>
          <w:bCs/>
          <w:color w:val="222222"/>
          <w:lang w:val="en-GB"/>
        </w:rPr>
        <w:t xml:space="preserve"> </w:t>
      </w:r>
      <w:proofErr w:type="spellStart"/>
      <w:r w:rsidRPr="00B060F3">
        <w:rPr>
          <w:rFonts w:eastAsia="Times New Roman"/>
          <w:bCs/>
          <w:color w:val="222222"/>
          <w:lang w:val="en-GB"/>
        </w:rPr>
        <w:t>Wijemanna</w:t>
      </w:r>
      <w:proofErr w:type="spellEnd"/>
      <w:r w:rsidRPr="00B060F3">
        <w:rPr>
          <w:rFonts w:eastAsia="Times New Roman"/>
          <w:bCs/>
          <w:color w:val="222222"/>
          <w:lang w:val="en-GB"/>
        </w:rPr>
        <w:t xml:space="preserve"> from Sri Lanka joined SARCO as the second Director-General with effect from 13 October 2014 </w:t>
      </w:r>
      <w:r w:rsidRPr="00B060F3">
        <w:rPr>
          <w:lang w:val="en-GB"/>
        </w:rPr>
        <w:t>for a period of three years</w:t>
      </w:r>
      <w:r w:rsidRPr="00B060F3">
        <w:rPr>
          <w:rFonts w:eastAsia="Times New Roman"/>
          <w:bCs/>
          <w:color w:val="222222"/>
          <w:lang w:val="en-GB"/>
        </w:rPr>
        <w:t xml:space="preserve">.   </w:t>
      </w:r>
    </w:p>
    <w:p w:rsidR="002D0A51" w:rsidRDefault="00B956AA"/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3043"/>
    <w:multiLevelType w:val="hybridMultilevel"/>
    <w:tmpl w:val="99B06B86"/>
    <w:lvl w:ilvl="0" w:tplc="5E788C6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AA"/>
    <w:rsid w:val="00345574"/>
    <w:rsid w:val="003E75AF"/>
    <w:rsid w:val="00B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F436A-590F-47E9-AE3E-5A31BE6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56A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B956AA"/>
    <w:pPr>
      <w:suppressAutoHyphens/>
      <w:ind w:left="720"/>
    </w:pPr>
    <w:rPr>
      <w:rFonts w:eastAsia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1</cp:revision>
  <dcterms:created xsi:type="dcterms:W3CDTF">2017-04-10T06:47:00Z</dcterms:created>
  <dcterms:modified xsi:type="dcterms:W3CDTF">2017-04-10T06:47:00Z</dcterms:modified>
</cp:coreProperties>
</file>