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93" w:rsidRPr="00B060F3" w:rsidRDefault="000E3793" w:rsidP="000E3793">
      <w:pPr>
        <w:tabs>
          <w:tab w:val="left" w:pos="720"/>
        </w:tabs>
        <w:jc w:val="both"/>
        <w:rPr>
          <w:b/>
          <w:lang w:val="en-GB"/>
        </w:rPr>
      </w:pPr>
      <w:bookmarkStart w:id="0" w:name="_GoBack"/>
      <w:r w:rsidRPr="00B060F3">
        <w:rPr>
          <w:b/>
          <w:lang w:val="en-GB"/>
        </w:rPr>
        <w:t>Agreement on South Asian Free Trade Area (SAFTA)</w:t>
      </w:r>
      <w:bookmarkEnd w:id="0"/>
    </w:p>
    <w:p w:rsidR="000E3793" w:rsidRPr="00B060F3" w:rsidRDefault="000E3793" w:rsidP="000E3793">
      <w:pPr>
        <w:tabs>
          <w:tab w:val="left" w:pos="720"/>
        </w:tabs>
        <w:jc w:val="both"/>
        <w:rPr>
          <w:b/>
          <w:bCs/>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The SAFTA Agreement, signed in 2004, entered into force on 1 January 2006 and the Trade Liberalization Programme commenced from 1 July 2006.</w:t>
      </w:r>
    </w:p>
    <w:p w:rsidR="000E3793" w:rsidRPr="00B060F3" w:rsidRDefault="000E3793" w:rsidP="000E3793">
      <w:pPr>
        <w:pStyle w:val="ListParagraph"/>
        <w:ind w:left="0"/>
        <w:jc w:val="both"/>
        <w:rPr>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The SAFTA Ministerial Council (SMC) has been established comprising Commerce Ministers of the Member States. To assist the SMC, a SAFTA Committee of Experts (SCOE) has been formed.</w:t>
      </w:r>
    </w:p>
    <w:p w:rsidR="000E3793" w:rsidRPr="00B060F3" w:rsidRDefault="000E3793" w:rsidP="000E3793">
      <w:pPr>
        <w:rPr>
          <w:lang w:val="en-GB"/>
        </w:rPr>
      </w:pPr>
      <w:r w:rsidRPr="00B060F3">
        <w:rPr>
          <w:lang w:val="en-GB"/>
        </w:rPr>
        <w:t xml:space="preserve"> </w:t>
      </w:r>
    </w:p>
    <w:p w:rsidR="000E3793" w:rsidRPr="00B060F3" w:rsidRDefault="000E3793" w:rsidP="000E3793">
      <w:pPr>
        <w:pStyle w:val="ListParagraph"/>
        <w:numPr>
          <w:ilvl w:val="0"/>
          <w:numId w:val="1"/>
        </w:numPr>
        <w:suppressAutoHyphens w:val="0"/>
        <w:ind w:left="0" w:firstLine="0"/>
        <w:jc w:val="both"/>
        <w:rPr>
          <w:lang w:val="en-GB"/>
        </w:rPr>
      </w:pPr>
      <w:r w:rsidRPr="00B060F3">
        <w:rPr>
          <w:bCs/>
          <w:lang w:val="en-GB"/>
        </w:rPr>
        <w:t>T</w:t>
      </w:r>
      <w:r w:rsidRPr="00B060F3">
        <w:rPr>
          <w:bCs/>
          <w:iCs/>
          <w:lang w:val="en-GB"/>
        </w:rPr>
        <w:t xml:space="preserve">he total cumulative exports under SAFTA since July 2006 have crossed US$ 3 billion. Data on intra-SAARC Trade </w:t>
      </w:r>
      <w:r w:rsidRPr="00B060F3">
        <w:rPr>
          <w:bCs/>
          <w:lang w:val="en-GB"/>
        </w:rPr>
        <w:t>flows</w:t>
      </w:r>
      <w:r w:rsidRPr="00B060F3">
        <w:rPr>
          <w:bCs/>
          <w:iCs/>
          <w:lang w:val="en-GB"/>
        </w:rPr>
        <w:t xml:space="preserve"> is not being received from Member States regularly.</w:t>
      </w:r>
    </w:p>
    <w:p w:rsidR="000E3793" w:rsidRPr="00B060F3" w:rsidRDefault="000E3793" w:rsidP="000E3793">
      <w:pPr>
        <w:pStyle w:val="ListParagraph"/>
        <w:suppressAutoHyphens w:val="0"/>
        <w:ind w:left="0"/>
        <w:jc w:val="both"/>
        <w:rPr>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 xml:space="preserve"> As recommended by the Forty-first Session of Standing Committee, a Special Meeting of Customs and Commerce Authorities on Verification Mechanism relating to Rules of Origin under SAPTA and SAFTA was held in Islamabad on 2-3 July 2015. It held detailed deliberations on the Working Paper presented by India and recommended that the Member States may make the following documents available online in electronic form on their respective websites for clearance of consignments at the border points expeditiously:</w:t>
      </w:r>
    </w:p>
    <w:p w:rsidR="000E3793" w:rsidRPr="00B060F3" w:rsidRDefault="000E3793" w:rsidP="000E3793">
      <w:pPr>
        <w:tabs>
          <w:tab w:val="left" w:pos="720"/>
          <w:tab w:val="left" w:pos="6247"/>
        </w:tabs>
        <w:ind w:right="-180"/>
        <w:jc w:val="both"/>
        <w:rPr>
          <w:lang w:val="en-GB"/>
        </w:rPr>
      </w:pPr>
    </w:p>
    <w:p w:rsidR="000E3793" w:rsidRPr="00B060F3" w:rsidRDefault="000E3793" w:rsidP="000E3793">
      <w:pPr>
        <w:tabs>
          <w:tab w:val="left" w:pos="720"/>
          <w:tab w:val="left" w:pos="1440"/>
          <w:tab w:val="left" w:pos="6247"/>
        </w:tabs>
        <w:ind w:left="1440" w:right="-180" w:hanging="1440"/>
        <w:jc w:val="both"/>
        <w:rPr>
          <w:lang w:val="en-GB"/>
        </w:rPr>
      </w:pPr>
      <w:r w:rsidRPr="00B060F3">
        <w:rPr>
          <w:lang w:val="en-GB"/>
        </w:rPr>
        <w:tab/>
        <w:t>(</w:t>
      </w:r>
      <w:proofErr w:type="spellStart"/>
      <w:r w:rsidRPr="00B060F3">
        <w:rPr>
          <w:lang w:val="en-GB"/>
        </w:rPr>
        <w:t>i</w:t>
      </w:r>
      <w:proofErr w:type="spellEnd"/>
      <w:r w:rsidRPr="00B060F3">
        <w:rPr>
          <w:lang w:val="en-GB"/>
        </w:rPr>
        <w:t>)</w:t>
      </w:r>
      <w:r w:rsidRPr="00B060F3">
        <w:rPr>
          <w:lang w:val="en-GB"/>
        </w:rPr>
        <w:tab/>
        <w:t>Specimen signatures and seals of all officials who are authorised to sign the SAFTA Certificates of Origin in Member States; and</w:t>
      </w:r>
    </w:p>
    <w:p w:rsidR="000E3793" w:rsidRPr="00B060F3" w:rsidRDefault="000E3793" w:rsidP="000E3793">
      <w:pPr>
        <w:tabs>
          <w:tab w:val="left" w:pos="720"/>
          <w:tab w:val="left" w:pos="1440"/>
          <w:tab w:val="left" w:pos="6247"/>
        </w:tabs>
        <w:ind w:left="1440" w:right="-180" w:hanging="1440"/>
        <w:jc w:val="both"/>
        <w:rPr>
          <w:lang w:val="en-GB"/>
        </w:rPr>
      </w:pPr>
    </w:p>
    <w:p w:rsidR="000E3793" w:rsidRPr="00B060F3" w:rsidRDefault="000E3793" w:rsidP="000E3793">
      <w:pPr>
        <w:tabs>
          <w:tab w:val="left" w:pos="720"/>
          <w:tab w:val="left" w:pos="1440"/>
          <w:tab w:val="left" w:pos="6247"/>
        </w:tabs>
        <w:ind w:left="1440" w:right="-180" w:hanging="1440"/>
        <w:jc w:val="both"/>
        <w:rPr>
          <w:lang w:val="en-GB"/>
        </w:rPr>
      </w:pPr>
      <w:r w:rsidRPr="00B060F3">
        <w:rPr>
          <w:lang w:val="en-GB"/>
        </w:rPr>
        <w:tab/>
        <w:t>(ii)</w:t>
      </w:r>
      <w:r w:rsidRPr="00B060F3">
        <w:rPr>
          <w:lang w:val="en-GB"/>
        </w:rPr>
        <w:tab/>
        <w:t>Basic fields of a Certificate of Origin including:</w:t>
      </w:r>
    </w:p>
    <w:p w:rsidR="000E3793" w:rsidRPr="00B060F3" w:rsidRDefault="000E3793" w:rsidP="000E3793">
      <w:pPr>
        <w:tabs>
          <w:tab w:val="left" w:pos="720"/>
          <w:tab w:val="left" w:pos="1440"/>
          <w:tab w:val="left" w:pos="6247"/>
        </w:tabs>
        <w:ind w:left="1440" w:right="-180" w:hanging="1440"/>
        <w:jc w:val="both"/>
        <w:rPr>
          <w:lang w:val="en-GB"/>
        </w:rPr>
      </w:pPr>
    </w:p>
    <w:p w:rsidR="000E3793" w:rsidRPr="00B060F3" w:rsidRDefault="000E3793" w:rsidP="000E3793">
      <w:pPr>
        <w:tabs>
          <w:tab w:val="left" w:pos="720"/>
          <w:tab w:val="left" w:pos="1440"/>
          <w:tab w:val="left" w:pos="6247"/>
        </w:tabs>
        <w:ind w:left="1440" w:right="-180" w:hanging="1440"/>
        <w:jc w:val="both"/>
        <w:rPr>
          <w:lang w:val="en-GB"/>
        </w:rPr>
      </w:pPr>
      <w:r w:rsidRPr="00B060F3">
        <w:rPr>
          <w:lang w:val="en-GB"/>
        </w:rPr>
        <w:tab/>
      </w:r>
      <w:r w:rsidRPr="00B060F3">
        <w:rPr>
          <w:lang w:val="en-GB"/>
        </w:rPr>
        <w:tab/>
        <w:t xml:space="preserve">(a) Certificate of Origin Number </w:t>
      </w:r>
    </w:p>
    <w:p w:rsidR="000E3793" w:rsidRPr="00B060F3" w:rsidRDefault="000E3793" w:rsidP="000E3793">
      <w:pPr>
        <w:tabs>
          <w:tab w:val="left" w:pos="720"/>
          <w:tab w:val="left" w:pos="1440"/>
          <w:tab w:val="left" w:pos="6247"/>
        </w:tabs>
        <w:ind w:left="1440" w:right="-180" w:hanging="1440"/>
        <w:jc w:val="both"/>
        <w:rPr>
          <w:lang w:val="en-GB"/>
        </w:rPr>
      </w:pPr>
      <w:r w:rsidRPr="00B060F3">
        <w:rPr>
          <w:lang w:val="en-GB"/>
        </w:rPr>
        <w:tab/>
      </w:r>
      <w:r w:rsidRPr="00B060F3">
        <w:rPr>
          <w:lang w:val="en-GB"/>
        </w:rPr>
        <w:tab/>
        <w:t>(b) Date of Issuance of Certificate of Origin</w:t>
      </w:r>
    </w:p>
    <w:p w:rsidR="000E3793" w:rsidRPr="00B060F3" w:rsidRDefault="000E3793" w:rsidP="000E3793">
      <w:pPr>
        <w:tabs>
          <w:tab w:val="left" w:pos="720"/>
          <w:tab w:val="left" w:pos="1440"/>
          <w:tab w:val="left" w:pos="6247"/>
        </w:tabs>
        <w:ind w:left="1440" w:right="-180" w:hanging="1440"/>
        <w:jc w:val="both"/>
        <w:rPr>
          <w:lang w:val="en-GB"/>
        </w:rPr>
      </w:pPr>
      <w:r w:rsidRPr="00B060F3">
        <w:rPr>
          <w:lang w:val="en-GB"/>
        </w:rPr>
        <w:tab/>
      </w:r>
      <w:r w:rsidRPr="00B060F3">
        <w:rPr>
          <w:lang w:val="en-GB"/>
        </w:rPr>
        <w:tab/>
        <w:t>(c) Place of Issuance</w:t>
      </w:r>
    </w:p>
    <w:p w:rsidR="000E3793" w:rsidRPr="00B060F3" w:rsidRDefault="000E3793" w:rsidP="000E3793">
      <w:pPr>
        <w:tabs>
          <w:tab w:val="left" w:pos="720"/>
          <w:tab w:val="left" w:pos="1440"/>
          <w:tab w:val="left" w:pos="6247"/>
        </w:tabs>
        <w:ind w:left="1440" w:right="-180" w:hanging="1440"/>
        <w:jc w:val="both"/>
        <w:rPr>
          <w:lang w:val="en-GB"/>
        </w:rPr>
      </w:pPr>
      <w:r w:rsidRPr="00B060F3">
        <w:rPr>
          <w:lang w:val="en-GB"/>
        </w:rPr>
        <w:tab/>
      </w:r>
      <w:r w:rsidRPr="00B060F3">
        <w:rPr>
          <w:lang w:val="en-GB"/>
        </w:rPr>
        <w:tab/>
        <w:t>(d) Name of the Exporter</w:t>
      </w:r>
    </w:p>
    <w:p w:rsidR="000E3793" w:rsidRPr="00B060F3" w:rsidRDefault="000E3793" w:rsidP="000E3793">
      <w:pPr>
        <w:tabs>
          <w:tab w:val="left" w:pos="720"/>
          <w:tab w:val="left" w:pos="1440"/>
          <w:tab w:val="left" w:pos="6247"/>
        </w:tabs>
        <w:ind w:left="1440" w:right="-180" w:hanging="1440"/>
        <w:jc w:val="both"/>
        <w:rPr>
          <w:lang w:val="en-GB"/>
        </w:rPr>
      </w:pPr>
      <w:r w:rsidRPr="00B060F3">
        <w:rPr>
          <w:lang w:val="en-GB"/>
        </w:rPr>
        <w:tab/>
      </w:r>
      <w:r w:rsidRPr="00B060F3">
        <w:rPr>
          <w:lang w:val="en-GB"/>
        </w:rPr>
        <w:tab/>
        <w:t>(e) Name of the Certifying Officer</w:t>
      </w:r>
    </w:p>
    <w:p w:rsidR="000E3793" w:rsidRPr="00B060F3" w:rsidRDefault="000E3793" w:rsidP="000E3793">
      <w:pPr>
        <w:tabs>
          <w:tab w:val="left" w:pos="720"/>
          <w:tab w:val="left" w:pos="1440"/>
          <w:tab w:val="left" w:pos="6247"/>
        </w:tabs>
        <w:ind w:left="1440" w:right="-180" w:hanging="1440"/>
        <w:jc w:val="both"/>
        <w:rPr>
          <w:lang w:val="en-GB"/>
        </w:rPr>
      </w:pPr>
      <w:r w:rsidRPr="00B060F3">
        <w:rPr>
          <w:lang w:val="en-GB"/>
        </w:rPr>
        <w:tab/>
      </w:r>
      <w:r w:rsidRPr="00B060F3">
        <w:rPr>
          <w:lang w:val="en-GB"/>
        </w:rPr>
        <w:tab/>
        <w:t>(f) Importing Country</w:t>
      </w:r>
    </w:p>
    <w:p w:rsidR="000E3793" w:rsidRPr="00B060F3" w:rsidRDefault="000E3793" w:rsidP="000E3793">
      <w:pPr>
        <w:tabs>
          <w:tab w:val="left" w:pos="720"/>
          <w:tab w:val="left" w:pos="1440"/>
          <w:tab w:val="left" w:pos="6247"/>
        </w:tabs>
        <w:ind w:left="1440" w:right="-180" w:hanging="1440"/>
        <w:jc w:val="both"/>
        <w:rPr>
          <w:color w:val="FF0000"/>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The Meeting agreed that once the above parameters are complied, it would be easier to clear the consignments. The above will also assist in verifying the rules of origin criteria as provided for in the SAFTA Rules of Origin, in case required.</w:t>
      </w:r>
    </w:p>
    <w:p w:rsidR="000E3793" w:rsidRPr="00B060F3" w:rsidRDefault="000E3793" w:rsidP="000E3793">
      <w:pPr>
        <w:pStyle w:val="ListParagraph"/>
        <w:suppressAutoHyphens w:val="0"/>
        <w:ind w:left="0"/>
        <w:jc w:val="both"/>
        <w:rPr>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On the feasibility and implications of harmonization of MFN Tariff across Member States, the Meeting recommended that a Study may be conducted, if possible, with the financial and technical assistance of ADB. The Study may identify tariff lines (8-digit HS) which are susceptible to trade distortions due to variations in customs tariff. As part of the Study, ADB may consult Member States on expansion in the list of products covered under the Product Specific Rules under SAFTA Rules of Origin and make recommendations in this regard. The Meeting welcomed the offer of India to prepare the Draft Terms of Reference (</w:t>
      </w:r>
      <w:proofErr w:type="spellStart"/>
      <w:r w:rsidRPr="00B060F3">
        <w:rPr>
          <w:lang w:val="en-GB"/>
        </w:rPr>
        <w:t>ToR</w:t>
      </w:r>
      <w:proofErr w:type="spellEnd"/>
      <w:r w:rsidRPr="00B060F3">
        <w:rPr>
          <w:lang w:val="en-GB"/>
        </w:rPr>
        <w:t xml:space="preserve">) of the Study. After finalization of the Draft </w:t>
      </w:r>
      <w:proofErr w:type="spellStart"/>
      <w:r w:rsidRPr="00B060F3">
        <w:rPr>
          <w:lang w:val="en-GB"/>
        </w:rPr>
        <w:t>ToR</w:t>
      </w:r>
      <w:proofErr w:type="spellEnd"/>
      <w:r w:rsidRPr="00B060F3">
        <w:rPr>
          <w:lang w:val="en-GB"/>
        </w:rPr>
        <w:t xml:space="preserve">, the SAARC Secretariat may request ADB to consider conducting the Study as per the approved TORs. This matter will be reviewed in the Second Meeting of Customs and Commerce Authorities on Verification Mechanism relating to Rules of Origin under SAPTA and SAFTA to </w:t>
      </w:r>
      <w:r w:rsidRPr="00B060F3">
        <w:rPr>
          <w:lang w:val="en-GB"/>
        </w:rPr>
        <w:lastRenderedPageBreak/>
        <w:t>be held in India. The Study, once finalized, will be first examined by the Sub-Group on Customs Cooperation before it is considered by the SAFTA Committee of Experts.</w:t>
      </w:r>
    </w:p>
    <w:p w:rsidR="000E3793" w:rsidRPr="00B060F3" w:rsidRDefault="000E3793" w:rsidP="000E3793">
      <w:pPr>
        <w:pStyle w:val="NormalWeb"/>
        <w:shd w:val="clear" w:color="auto" w:fill="FFFFFF"/>
        <w:spacing w:before="0" w:beforeAutospacing="0" w:after="0" w:afterAutospacing="0"/>
        <w:jc w:val="both"/>
        <w:rPr>
          <w:bCs/>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The Standing Committee at its Forty-first Session approved that a Special Meeting of SAFTA Committee of Experts be held after the Eighteenth SAARC Summit to consider the proposal put forward by the delegations from Bhutan, India, Maldives and Pakistan that peak tariff on all products may be reduced to 0 to 5% by the year 2020, excluding a small number of about 100 tariff lines which may still remain in the Sensitive Lists of Member States. Accordingly, a Special Meeting was held in Islamabad on 4 July 2015 to consider the above proposal. After discussions, the provisional/confirmed positions with regard to further trade liberalisation and reduction in the sensitive lists emerged as follows:</w:t>
      </w:r>
    </w:p>
    <w:p w:rsidR="000E3793" w:rsidRPr="00B060F3" w:rsidRDefault="000E3793" w:rsidP="000E3793">
      <w:pPr>
        <w:ind w:left="720" w:right="-180" w:hanging="720"/>
        <w:jc w:val="both"/>
        <w:rPr>
          <w:lang w:val="en-GB"/>
        </w:rPr>
      </w:pPr>
    </w:p>
    <w:tbl>
      <w:tblPr>
        <w:tblW w:w="79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1"/>
        <w:gridCol w:w="2355"/>
        <w:gridCol w:w="2158"/>
        <w:gridCol w:w="1931"/>
      </w:tblGrid>
      <w:tr w:rsidR="000E3793" w:rsidRPr="0031109A" w:rsidTr="001267F8">
        <w:trPr>
          <w:jc w:val="right"/>
        </w:trPr>
        <w:tc>
          <w:tcPr>
            <w:tcW w:w="1511" w:type="dxa"/>
            <w:shd w:val="clear" w:color="auto" w:fill="D9D9D9"/>
          </w:tcPr>
          <w:p w:rsidR="000E3793" w:rsidRPr="0031109A" w:rsidRDefault="000E3793" w:rsidP="001267F8">
            <w:pPr>
              <w:snapToGrid w:val="0"/>
              <w:ind w:right="-14"/>
              <w:rPr>
                <w:b/>
                <w:bCs/>
                <w:sz w:val="20"/>
                <w:szCs w:val="20"/>
                <w:lang w:val="en-GB"/>
              </w:rPr>
            </w:pPr>
            <w:r w:rsidRPr="0031109A">
              <w:rPr>
                <w:b/>
                <w:bCs/>
                <w:sz w:val="20"/>
                <w:szCs w:val="20"/>
                <w:lang w:val="en-GB"/>
              </w:rPr>
              <w:t>Member State</w:t>
            </w:r>
          </w:p>
          <w:p w:rsidR="000E3793" w:rsidRPr="0031109A" w:rsidRDefault="000E3793" w:rsidP="001267F8">
            <w:pPr>
              <w:snapToGrid w:val="0"/>
              <w:ind w:right="-14"/>
              <w:jc w:val="center"/>
              <w:rPr>
                <w:b/>
                <w:bCs/>
                <w:sz w:val="20"/>
                <w:szCs w:val="20"/>
                <w:lang w:val="en-GB"/>
              </w:rPr>
            </w:pPr>
          </w:p>
        </w:tc>
        <w:tc>
          <w:tcPr>
            <w:tcW w:w="2355" w:type="dxa"/>
            <w:shd w:val="clear" w:color="auto" w:fill="D9D9D9"/>
          </w:tcPr>
          <w:p w:rsidR="000E3793" w:rsidRPr="0031109A" w:rsidRDefault="000E3793" w:rsidP="001267F8">
            <w:pPr>
              <w:snapToGrid w:val="0"/>
              <w:ind w:right="48"/>
              <w:jc w:val="center"/>
              <w:rPr>
                <w:b/>
                <w:bCs/>
                <w:iCs/>
                <w:sz w:val="20"/>
                <w:szCs w:val="20"/>
                <w:lang w:val="en-GB"/>
              </w:rPr>
            </w:pPr>
            <w:r w:rsidRPr="0031109A">
              <w:rPr>
                <w:b/>
                <w:bCs/>
                <w:iCs/>
                <w:sz w:val="20"/>
                <w:szCs w:val="20"/>
                <w:lang w:val="en-GB"/>
              </w:rPr>
              <w:t>To Reduce Sensitive Lists up to</w:t>
            </w:r>
          </w:p>
          <w:p w:rsidR="000E3793" w:rsidRPr="0031109A" w:rsidRDefault="000E3793" w:rsidP="001267F8">
            <w:pPr>
              <w:snapToGrid w:val="0"/>
              <w:ind w:right="48"/>
              <w:jc w:val="center"/>
              <w:rPr>
                <w:b/>
                <w:bCs/>
                <w:iCs/>
                <w:sz w:val="20"/>
                <w:szCs w:val="20"/>
                <w:lang w:val="en-GB"/>
              </w:rPr>
            </w:pPr>
          </w:p>
        </w:tc>
        <w:tc>
          <w:tcPr>
            <w:tcW w:w="2158" w:type="dxa"/>
            <w:shd w:val="clear" w:color="auto" w:fill="D9D9D9"/>
          </w:tcPr>
          <w:p w:rsidR="000E3793" w:rsidRPr="0031109A" w:rsidRDefault="000E3793" w:rsidP="001267F8">
            <w:pPr>
              <w:snapToGrid w:val="0"/>
              <w:ind w:right="48"/>
              <w:jc w:val="center"/>
              <w:rPr>
                <w:b/>
                <w:bCs/>
                <w:iCs/>
                <w:sz w:val="20"/>
                <w:szCs w:val="20"/>
                <w:lang w:val="en-GB"/>
              </w:rPr>
            </w:pPr>
            <w:r w:rsidRPr="0031109A">
              <w:rPr>
                <w:b/>
                <w:bCs/>
                <w:iCs/>
                <w:sz w:val="20"/>
                <w:szCs w:val="20"/>
                <w:lang w:val="en-GB"/>
              </w:rPr>
              <w:t xml:space="preserve">To reduce Tariff to </w:t>
            </w:r>
          </w:p>
        </w:tc>
        <w:tc>
          <w:tcPr>
            <w:tcW w:w="1931" w:type="dxa"/>
            <w:shd w:val="clear" w:color="auto" w:fill="D9D9D9"/>
          </w:tcPr>
          <w:p w:rsidR="000E3793" w:rsidRPr="0031109A" w:rsidRDefault="000E3793" w:rsidP="001267F8">
            <w:pPr>
              <w:snapToGrid w:val="0"/>
              <w:ind w:right="48"/>
              <w:jc w:val="center"/>
              <w:rPr>
                <w:b/>
                <w:bCs/>
                <w:iCs/>
                <w:sz w:val="20"/>
                <w:szCs w:val="20"/>
                <w:lang w:val="en-GB"/>
              </w:rPr>
            </w:pPr>
            <w:r w:rsidRPr="0031109A">
              <w:rPr>
                <w:b/>
                <w:bCs/>
                <w:iCs/>
                <w:sz w:val="20"/>
                <w:szCs w:val="20"/>
                <w:lang w:val="en-GB"/>
              </w:rPr>
              <w:t>Positions</w:t>
            </w:r>
          </w:p>
        </w:tc>
      </w:tr>
      <w:tr w:rsidR="000E3793" w:rsidRPr="0031109A" w:rsidTr="001267F8">
        <w:trPr>
          <w:jc w:val="right"/>
        </w:trPr>
        <w:tc>
          <w:tcPr>
            <w:tcW w:w="1511" w:type="dxa"/>
            <w:shd w:val="clear" w:color="auto" w:fill="auto"/>
          </w:tcPr>
          <w:p w:rsidR="000E3793" w:rsidRPr="0031109A" w:rsidRDefault="000E3793" w:rsidP="001267F8">
            <w:pPr>
              <w:snapToGrid w:val="0"/>
              <w:ind w:right="-14"/>
              <w:jc w:val="both"/>
              <w:rPr>
                <w:b/>
                <w:bCs/>
                <w:sz w:val="20"/>
                <w:szCs w:val="20"/>
                <w:lang w:val="en-GB"/>
              </w:rPr>
            </w:pPr>
            <w:r w:rsidRPr="0031109A">
              <w:rPr>
                <w:b/>
                <w:bCs/>
                <w:sz w:val="20"/>
                <w:szCs w:val="20"/>
                <w:lang w:val="en-GB"/>
              </w:rPr>
              <w:t xml:space="preserve">Afghanistan </w:t>
            </w:r>
          </w:p>
        </w:tc>
        <w:tc>
          <w:tcPr>
            <w:tcW w:w="2355" w:type="dxa"/>
            <w:shd w:val="clear" w:color="auto" w:fill="auto"/>
          </w:tcPr>
          <w:p w:rsidR="000E3793" w:rsidRPr="0031109A" w:rsidRDefault="000E3793" w:rsidP="001267F8">
            <w:pPr>
              <w:snapToGrid w:val="0"/>
              <w:ind w:left="108"/>
              <w:rPr>
                <w:sz w:val="20"/>
                <w:szCs w:val="20"/>
                <w:lang w:val="en-GB"/>
              </w:rPr>
            </w:pPr>
            <w:r w:rsidRPr="0031109A">
              <w:rPr>
                <w:sz w:val="20"/>
                <w:szCs w:val="20"/>
                <w:lang w:val="en-GB"/>
              </w:rPr>
              <w:t xml:space="preserve">235 by </w:t>
            </w:r>
            <w:r w:rsidRPr="0031109A">
              <w:rPr>
                <w:b/>
                <w:sz w:val="20"/>
                <w:szCs w:val="20"/>
                <w:lang w:val="en-GB"/>
              </w:rPr>
              <w:t>2030</w:t>
            </w:r>
          </w:p>
        </w:tc>
        <w:tc>
          <w:tcPr>
            <w:tcW w:w="2158" w:type="dxa"/>
          </w:tcPr>
          <w:p w:rsidR="000E3793" w:rsidRPr="0031109A" w:rsidRDefault="000E3793" w:rsidP="001267F8">
            <w:pPr>
              <w:snapToGrid w:val="0"/>
              <w:ind w:left="93"/>
              <w:rPr>
                <w:sz w:val="20"/>
                <w:szCs w:val="20"/>
                <w:lang w:val="en-GB"/>
              </w:rPr>
            </w:pPr>
            <w:r w:rsidRPr="0031109A">
              <w:rPr>
                <w:sz w:val="20"/>
                <w:szCs w:val="20"/>
                <w:lang w:val="en-GB"/>
              </w:rPr>
              <w:t>0 to 5% by 2030</w:t>
            </w:r>
          </w:p>
        </w:tc>
        <w:tc>
          <w:tcPr>
            <w:tcW w:w="1931" w:type="dxa"/>
          </w:tcPr>
          <w:p w:rsidR="000E3793" w:rsidRPr="0031109A" w:rsidRDefault="000E3793" w:rsidP="001267F8">
            <w:pPr>
              <w:snapToGrid w:val="0"/>
              <w:rPr>
                <w:sz w:val="20"/>
                <w:szCs w:val="20"/>
                <w:lang w:val="en-GB"/>
              </w:rPr>
            </w:pPr>
            <w:r w:rsidRPr="0031109A">
              <w:rPr>
                <w:sz w:val="20"/>
                <w:szCs w:val="20"/>
                <w:lang w:val="en-GB"/>
              </w:rPr>
              <w:t>Confirmed</w:t>
            </w:r>
          </w:p>
        </w:tc>
      </w:tr>
      <w:tr w:rsidR="000E3793" w:rsidRPr="0031109A" w:rsidTr="001267F8">
        <w:trPr>
          <w:jc w:val="right"/>
        </w:trPr>
        <w:tc>
          <w:tcPr>
            <w:tcW w:w="1511" w:type="dxa"/>
            <w:shd w:val="clear" w:color="auto" w:fill="auto"/>
          </w:tcPr>
          <w:p w:rsidR="000E3793" w:rsidRPr="0031109A" w:rsidRDefault="000E3793" w:rsidP="001267F8">
            <w:pPr>
              <w:snapToGrid w:val="0"/>
              <w:ind w:right="-14"/>
              <w:jc w:val="both"/>
              <w:rPr>
                <w:b/>
                <w:bCs/>
                <w:sz w:val="20"/>
                <w:szCs w:val="20"/>
                <w:lang w:val="en-GB"/>
              </w:rPr>
            </w:pPr>
            <w:r w:rsidRPr="0031109A">
              <w:rPr>
                <w:b/>
                <w:bCs/>
                <w:sz w:val="20"/>
                <w:szCs w:val="20"/>
                <w:lang w:val="en-GB"/>
              </w:rPr>
              <w:t xml:space="preserve">Bangladesh </w:t>
            </w:r>
          </w:p>
        </w:tc>
        <w:tc>
          <w:tcPr>
            <w:tcW w:w="2355" w:type="dxa"/>
            <w:shd w:val="clear" w:color="auto" w:fill="auto"/>
          </w:tcPr>
          <w:p w:rsidR="000E3793" w:rsidRPr="0031109A" w:rsidRDefault="000E3793" w:rsidP="001267F8">
            <w:pPr>
              <w:snapToGrid w:val="0"/>
              <w:ind w:left="108" w:right="48"/>
              <w:rPr>
                <w:b/>
                <w:sz w:val="20"/>
                <w:szCs w:val="20"/>
                <w:lang w:val="en-GB"/>
              </w:rPr>
            </w:pPr>
            <w:r w:rsidRPr="0031109A">
              <w:rPr>
                <w:b/>
                <w:sz w:val="20"/>
                <w:szCs w:val="20"/>
                <w:lang w:val="en-GB"/>
              </w:rPr>
              <w:t>450 by 2030</w:t>
            </w:r>
          </w:p>
        </w:tc>
        <w:tc>
          <w:tcPr>
            <w:tcW w:w="2158" w:type="dxa"/>
          </w:tcPr>
          <w:p w:rsidR="000E3793" w:rsidRPr="0031109A" w:rsidRDefault="000E3793" w:rsidP="001267F8">
            <w:pPr>
              <w:snapToGrid w:val="0"/>
              <w:ind w:left="93" w:right="48"/>
              <w:rPr>
                <w:b/>
                <w:sz w:val="20"/>
                <w:szCs w:val="20"/>
                <w:lang w:val="en-GB"/>
              </w:rPr>
            </w:pPr>
            <w:r w:rsidRPr="0031109A">
              <w:rPr>
                <w:b/>
                <w:sz w:val="20"/>
                <w:szCs w:val="20"/>
                <w:lang w:val="en-GB"/>
              </w:rPr>
              <w:t>0 to 5% by 2030</w:t>
            </w:r>
          </w:p>
        </w:tc>
        <w:tc>
          <w:tcPr>
            <w:tcW w:w="1931" w:type="dxa"/>
          </w:tcPr>
          <w:p w:rsidR="000E3793" w:rsidRPr="0031109A" w:rsidRDefault="000E3793" w:rsidP="001267F8">
            <w:pPr>
              <w:snapToGrid w:val="0"/>
              <w:ind w:right="48"/>
              <w:rPr>
                <w:b/>
                <w:sz w:val="20"/>
                <w:szCs w:val="20"/>
                <w:lang w:val="en-GB"/>
              </w:rPr>
            </w:pPr>
            <w:r w:rsidRPr="0031109A">
              <w:rPr>
                <w:b/>
                <w:sz w:val="20"/>
                <w:szCs w:val="20"/>
                <w:lang w:val="en-GB"/>
              </w:rPr>
              <w:t>PROVISIONAL</w:t>
            </w:r>
          </w:p>
        </w:tc>
      </w:tr>
      <w:tr w:rsidR="000E3793" w:rsidRPr="0031109A" w:rsidTr="001267F8">
        <w:trPr>
          <w:jc w:val="right"/>
        </w:trPr>
        <w:tc>
          <w:tcPr>
            <w:tcW w:w="1511" w:type="dxa"/>
            <w:shd w:val="clear" w:color="auto" w:fill="auto"/>
          </w:tcPr>
          <w:p w:rsidR="000E3793" w:rsidRPr="0031109A" w:rsidRDefault="000E3793" w:rsidP="001267F8">
            <w:pPr>
              <w:snapToGrid w:val="0"/>
              <w:ind w:right="-14"/>
              <w:jc w:val="both"/>
              <w:rPr>
                <w:b/>
                <w:bCs/>
                <w:sz w:val="20"/>
                <w:szCs w:val="20"/>
                <w:lang w:val="en-GB"/>
              </w:rPr>
            </w:pPr>
            <w:r w:rsidRPr="0031109A">
              <w:rPr>
                <w:b/>
                <w:bCs/>
                <w:sz w:val="20"/>
                <w:szCs w:val="20"/>
                <w:lang w:val="en-GB"/>
              </w:rPr>
              <w:t>Bhutan</w:t>
            </w:r>
            <w:r w:rsidRPr="0031109A">
              <w:rPr>
                <w:b/>
                <w:bCs/>
                <w:color w:val="FF0000"/>
                <w:sz w:val="20"/>
                <w:szCs w:val="20"/>
                <w:lang w:val="en-GB"/>
              </w:rPr>
              <w:t xml:space="preserve"> </w:t>
            </w:r>
          </w:p>
        </w:tc>
        <w:tc>
          <w:tcPr>
            <w:tcW w:w="2355" w:type="dxa"/>
            <w:shd w:val="clear" w:color="auto" w:fill="auto"/>
          </w:tcPr>
          <w:p w:rsidR="000E3793" w:rsidRPr="0031109A" w:rsidRDefault="000E3793" w:rsidP="001267F8">
            <w:pPr>
              <w:snapToGrid w:val="0"/>
              <w:ind w:left="108" w:right="48"/>
              <w:rPr>
                <w:sz w:val="20"/>
                <w:szCs w:val="20"/>
                <w:lang w:val="en-GB"/>
              </w:rPr>
            </w:pPr>
            <w:r w:rsidRPr="0031109A">
              <w:rPr>
                <w:sz w:val="20"/>
                <w:szCs w:val="20"/>
                <w:lang w:val="en-GB"/>
              </w:rPr>
              <w:t>100 by 2020</w:t>
            </w:r>
          </w:p>
        </w:tc>
        <w:tc>
          <w:tcPr>
            <w:tcW w:w="2158" w:type="dxa"/>
          </w:tcPr>
          <w:p w:rsidR="000E3793" w:rsidRPr="0031109A" w:rsidRDefault="000E3793" w:rsidP="001267F8">
            <w:pPr>
              <w:snapToGrid w:val="0"/>
              <w:ind w:left="93" w:right="48"/>
              <w:rPr>
                <w:sz w:val="20"/>
                <w:szCs w:val="20"/>
                <w:lang w:val="en-GB"/>
              </w:rPr>
            </w:pPr>
            <w:r w:rsidRPr="0031109A">
              <w:rPr>
                <w:sz w:val="20"/>
                <w:szCs w:val="20"/>
                <w:lang w:val="en-GB"/>
              </w:rPr>
              <w:t>0 to 5% by 2020</w:t>
            </w:r>
          </w:p>
        </w:tc>
        <w:tc>
          <w:tcPr>
            <w:tcW w:w="1931" w:type="dxa"/>
          </w:tcPr>
          <w:p w:rsidR="000E3793" w:rsidRPr="0031109A" w:rsidRDefault="000E3793" w:rsidP="001267F8">
            <w:pPr>
              <w:rPr>
                <w:sz w:val="20"/>
                <w:szCs w:val="20"/>
                <w:lang w:val="en-GB"/>
              </w:rPr>
            </w:pPr>
            <w:r w:rsidRPr="0031109A">
              <w:rPr>
                <w:sz w:val="20"/>
                <w:szCs w:val="20"/>
                <w:lang w:val="en-GB"/>
              </w:rPr>
              <w:t>Confirmed</w:t>
            </w:r>
          </w:p>
        </w:tc>
      </w:tr>
      <w:tr w:rsidR="000E3793" w:rsidRPr="0031109A" w:rsidTr="001267F8">
        <w:trPr>
          <w:jc w:val="right"/>
        </w:trPr>
        <w:tc>
          <w:tcPr>
            <w:tcW w:w="1511" w:type="dxa"/>
            <w:shd w:val="clear" w:color="auto" w:fill="auto"/>
          </w:tcPr>
          <w:p w:rsidR="000E3793" w:rsidRPr="0031109A" w:rsidRDefault="000E3793" w:rsidP="001267F8">
            <w:pPr>
              <w:snapToGrid w:val="0"/>
              <w:ind w:right="-14"/>
              <w:jc w:val="both"/>
              <w:rPr>
                <w:b/>
                <w:bCs/>
                <w:sz w:val="20"/>
                <w:szCs w:val="20"/>
                <w:lang w:val="en-GB"/>
              </w:rPr>
            </w:pPr>
            <w:r w:rsidRPr="0031109A">
              <w:rPr>
                <w:b/>
                <w:bCs/>
                <w:sz w:val="20"/>
                <w:szCs w:val="20"/>
                <w:lang w:val="en-GB"/>
              </w:rPr>
              <w:t xml:space="preserve">India </w:t>
            </w:r>
          </w:p>
        </w:tc>
        <w:tc>
          <w:tcPr>
            <w:tcW w:w="2355" w:type="dxa"/>
            <w:shd w:val="clear" w:color="auto" w:fill="auto"/>
          </w:tcPr>
          <w:p w:rsidR="000E3793" w:rsidRPr="0031109A" w:rsidRDefault="000E3793" w:rsidP="001267F8">
            <w:pPr>
              <w:snapToGrid w:val="0"/>
              <w:ind w:left="108"/>
              <w:rPr>
                <w:sz w:val="20"/>
                <w:szCs w:val="20"/>
                <w:lang w:val="en-GB"/>
              </w:rPr>
            </w:pPr>
            <w:r w:rsidRPr="0031109A">
              <w:rPr>
                <w:sz w:val="20"/>
                <w:szCs w:val="20"/>
                <w:lang w:val="en-GB"/>
              </w:rPr>
              <w:t>100 by 2020 (for NLDCs)</w:t>
            </w:r>
          </w:p>
        </w:tc>
        <w:tc>
          <w:tcPr>
            <w:tcW w:w="2158" w:type="dxa"/>
          </w:tcPr>
          <w:p w:rsidR="000E3793" w:rsidRPr="0031109A" w:rsidRDefault="000E3793" w:rsidP="001267F8">
            <w:pPr>
              <w:ind w:left="93"/>
              <w:rPr>
                <w:sz w:val="20"/>
                <w:szCs w:val="20"/>
                <w:lang w:val="en-GB"/>
              </w:rPr>
            </w:pPr>
            <w:r w:rsidRPr="0031109A">
              <w:rPr>
                <w:sz w:val="20"/>
                <w:szCs w:val="20"/>
                <w:lang w:val="en-GB"/>
              </w:rPr>
              <w:t>0 to 5% by 2020</w:t>
            </w:r>
          </w:p>
        </w:tc>
        <w:tc>
          <w:tcPr>
            <w:tcW w:w="1931" w:type="dxa"/>
          </w:tcPr>
          <w:p w:rsidR="000E3793" w:rsidRPr="0031109A" w:rsidRDefault="000E3793" w:rsidP="001267F8">
            <w:pPr>
              <w:rPr>
                <w:sz w:val="20"/>
                <w:szCs w:val="20"/>
                <w:lang w:val="en-GB"/>
              </w:rPr>
            </w:pPr>
            <w:r w:rsidRPr="0031109A">
              <w:rPr>
                <w:sz w:val="20"/>
                <w:szCs w:val="20"/>
                <w:lang w:val="en-GB"/>
              </w:rPr>
              <w:t>Confirmed</w:t>
            </w:r>
          </w:p>
        </w:tc>
      </w:tr>
      <w:tr w:rsidR="000E3793" w:rsidRPr="0031109A" w:rsidTr="001267F8">
        <w:trPr>
          <w:jc w:val="right"/>
        </w:trPr>
        <w:tc>
          <w:tcPr>
            <w:tcW w:w="1511" w:type="dxa"/>
            <w:shd w:val="clear" w:color="auto" w:fill="auto"/>
          </w:tcPr>
          <w:p w:rsidR="000E3793" w:rsidRPr="0031109A" w:rsidRDefault="000E3793" w:rsidP="001267F8">
            <w:pPr>
              <w:snapToGrid w:val="0"/>
              <w:ind w:right="-14"/>
              <w:jc w:val="both"/>
              <w:rPr>
                <w:b/>
                <w:bCs/>
                <w:sz w:val="20"/>
                <w:szCs w:val="20"/>
                <w:lang w:val="en-GB"/>
              </w:rPr>
            </w:pPr>
            <w:r w:rsidRPr="0031109A">
              <w:rPr>
                <w:b/>
                <w:bCs/>
                <w:sz w:val="20"/>
                <w:szCs w:val="20"/>
                <w:lang w:val="en-GB"/>
              </w:rPr>
              <w:t xml:space="preserve">Maldives </w:t>
            </w:r>
          </w:p>
        </w:tc>
        <w:tc>
          <w:tcPr>
            <w:tcW w:w="2355" w:type="dxa"/>
            <w:shd w:val="clear" w:color="auto" w:fill="auto"/>
          </w:tcPr>
          <w:p w:rsidR="000E3793" w:rsidRPr="0031109A" w:rsidRDefault="000E3793" w:rsidP="001267F8">
            <w:pPr>
              <w:autoSpaceDE w:val="0"/>
              <w:snapToGrid w:val="0"/>
              <w:ind w:left="108" w:right="48"/>
              <w:rPr>
                <w:sz w:val="20"/>
                <w:szCs w:val="20"/>
                <w:lang w:val="en-GB"/>
              </w:rPr>
            </w:pPr>
            <w:r w:rsidRPr="0031109A">
              <w:rPr>
                <w:sz w:val="20"/>
                <w:szCs w:val="20"/>
                <w:lang w:val="en-GB"/>
              </w:rPr>
              <w:t>100 by 2020</w:t>
            </w:r>
          </w:p>
        </w:tc>
        <w:tc>
          <w:tcPr>
            <w:tcW w:w="2158" w:type="dxa"/>
          </w:tcPr>
          <w:p w:rsidR="000E3793" w:rsidRPr="0031109A" w:rsidRDefault="000E3793" w:rsidP="001267F8">
            <w:pPr>
              <w:ind w:left="93"/>
              <w:rPr>
                <w:sz w:val="20"/>
                <w:szCs w:val="20"/>
                <w:lang w:val="en-GB"/>
              </w:rPr>
            </w:pPr>
            <w:r w:rsidRPr="0031109A">
              <w:rPr>
                <w:sz w:val="20"/>
                <w:szCs w:val="20"/>
                <w:lang w:val="en-GB"/>
              </w:rPr>
              <w:t>0 to 5% by 2020</w:t>
            </w:r>
          </w:p>
        </w:tc>
        <w:tc>
          <w:tcPr>
            <w:tcW w:w="1931" w:type="dxa"/>
          </w:tcPr>
          <w:p w:rsidR="000E3793" w:rsidRPr="0031109A" w:rsidRDefault="000E3793" w:rsidP="001267F8">
            <w:pPr>
              <w:rPr>
                <w:sz w:val="20"/>
                <w:szCs w:val="20"/>
                <w:lang w:val="en-GB"/>
              </w:rPr>
            </w:pPr>
            <w:r w:rsidRPr="0031109A">
              <w:rPr>
                <w:sz w:val="20"/>
                <w:szCs w:val="20"/>
                <w:lang w:val="en-GB"/>
              </w:rPr>
              <w:t>Confirmed</w:t>
            </w:r>
          </w:p>
        </w:tc>
      </w:tr>
      <w:tr w:rsidR="000E3793" w:rsidRPr="0031109A" w:rsidTr="001267F8">
        <w:trPr>
          <w:jc w:val="right"/>
        </w:trPr>
        <w:tc>
          <w:tcPr>
            <w:tcW w:w="1511" w:type="dxa"/>
            <w:shd w:val="clear" w:color="auto" w:fill="auto"/>
          </w:tcPr>
          <w:p w:rsidR="000E3793" w:rsidRPr="0031109A" w:rsidRDefault="000E3793" w:rsidP="001267F8">
            <w:pPr>
              <w:snapToGrid w:val="0"/>
              <w:ind w:right="-14"/>
              <w:jc w:val="both"/>
              <w:rPr>
                <w:b/>
                <w:bCs/>
                <w:sz w:val="20"/>
                <w:szCs w:val="20"/>
                <w:lang w:val="en-GB"/>
              </w:rPr>
            </w:pPr>
            <w:r w:rsidRPr="0031109A">
              <w:rPr>
                <w:b/>
                <w:bCs/>
                <w:sz w:val="20"/>
                <w:szCs w:val="20"/>
                <w:lang w:val="en-GB"/>
              </w:rPr>
              <w:t xml:space="preserve">Nepal </w:t>
            </w:r>
          </w:p>
        </w:tc>
        <w:tc>
          <w:tcPr>
            <w:tcW w:w="2355" w:type="dxa"/>
            <w:shd w:val="clear" w:color="auto" w:fill="auto"/>
          </w:tcPr>
          <w:p w:rsidR="000E3793" w:rsidRPr="0031109A" w:rsidRDefault="000E3793" w:rsidP="001267F8">
            <w:pPr>
              <w:snapToGrid w:val="0"/>
              <w:ind w:left="108"/>
              <w:rPr>
                <w:b/>
                <w:sz w:val="20"/>
                <w:szCs w:val="20"/>
                <w:lang w:val="en-GB"/>
              </w:rPr>
            </w:pPr>
            <w:r w:rsidRPr="0031109A">
              <w:rPr>
                <w:b/>
                <w:sz w:val="20"/>
                <w:szCs w:val="20"/>
                <w:lang w:val="en-GB"/>
              </w:rPr>
              <w:t>500 by 2030</w:t>
            </w:r>
          </w:p>
        </w:tc>
        <w:tc>
          <w:tcPr>
            <w:tcW w:w="2158" w:type="dxa"/>
          </w:tcPr>
          <w:p w:rsidR="000E3793" w:rsidRPr="0031109A" w:rsidRDefault="000E3793" w:rsidP="001267F8">
            <w:pPr>
              <w:snapToGrid w:val="0"/>
              <w:ind w:left="93"/>
              <w:rPr>
                <w:b/>
                <w:color w:val="000000"/>
                <w:sz w:val="20"/>
                <w:szCs w:val="20"/>
                <w:lang w:val="en-GB"/>
              </w:rPr>
            </w:pPr>
            <w:r w:rsidRPr="0031109A">
              <w:rPr>
                <w:b/>
                <w:sz w:val="20"/>
                <w:szCs w:val="20"/>
                <w:lang w:val="en-GB"/>
              </w:rPr>
              <w:t>0 to 5% by 2030</w:t>
            </w:r>
          </w:p>
        </w:tc>
        <w:tc>
          <w:tcPr>
            <w:tcW w:w="1931" w:type="dxa"/>
          </w:tcPr>
          <w:p w:rsidR="000E3793" w:rsidRPr="0031109A" w:rsidRDefault="000E3793" w:rsidP="001267F8">
            <w:pPr>
              <w:snapToGrid w:val="0"/>
              <w:rPr>
                <w:b/>
                <w:sz w:val="20"/>
                <w:szCs w:val="20"/>
                <w:lang w:val="en-GB"/>
              </w:rPr>
            </w:pPr>
            <w:r w:rsidRPr="0031109A">
              <w:rPr>
                <w:b/>
                <w:sz w:val="20"/>
                <w:szCs w:val="20"/>
                <w:lang w:val="en-GB"/>
              </w:rPr>
              <w:t>PROVISIONAL</w:t>
            </w:r>
          </w:p>
        </w:tc>
      </w:tr>
      <w:tr w:rsidR="000E3793" w:rsidRPr="0031109A" w:rsidTr="001267F8">
        <w:trPr>
          <w:jc w:val="right"/>
        </w:trPr>
        <w:tc>
          <w:tcPr>
            <w:tcW w:w="1511" w:type="dxa"/>
            <w:shd w:val="clear" w:color="auto" w:fill="auto"/>
          </w:tcPr>
          <w:p w:rsidR="000E3793" w:rsidRPr="0031109A" w:rsidRDefault="000E3793" w:rsidP="001267F8">
            <w:pPr>
              <w:snapToGrid w:val="0"/>
              <w:ind w:right="-14"/>
              <w:jc w:val="both"/>
              <w:rPr>
                <w:b/>
                <w:bCs/>
                <w:sz w:val="20"/>
                <w:szCs w:val="20"/>
                <w:lang w:val="en-GB"/>
              </w:rPr>
            </w:pPr>
            <w:r w:rsidRPr="0031109A">
              <w:rPr>
                <w:b/>
                <w:bCs/>
                <w:sz w:val="20"/>
                <w:szCs w:val="20"/>
                <w:lang w:val="en-GB"/>
              </w:rPr>
              <w:t xml:space="preserve">Pakistan </w:t>
            </w:r>
          </w:p>
        </w:tc>
        <w:tc>
          <w:tcPr>
            <w:tcW w:w="2355" w:type="dxa"/>
            <w:shd w:val="clear" w:color="auto" w:fill="auto"/>
          </w:tcPr>
          <w:p w:rsidR="000E3793" w:rsidRPr="0031109A" w:rsidRDefault="000E3793" w:rsidP="001267F8">
            <w:pPr>
              <w:autoSpaceDE w:val="0"/>
              <w:snapToGrid w:val="0"/>
              <w:ind w:left="108" w:right="48"/>
              <w:rPr>
                <w:sz w:val="20"/>
                <w:szCs w:val="20"/>
                <w:lang w:val="en-GB"/>
              </w:rPr>
            </w:pPr>
            <w:r w:rsidRPr="0031109A">
              <w:rPr>
                <w:sz w:val="20"/>
                <w:szCs w:val="20"/>
                <w:lang w:val="en-GB"/>
              </w:rPr>
              <w:t>100 by 2020</w:t>
            </w:r>
          </w:p>
        </w:tc>
        <w:tc>
          <w:tcPr>
            <w:tcW w:w="2158" w:type="dxa"/>
          </w:tcPr>
          <w:p w:rsidR="000E3793" w:rsidRPr="0031109A" w:rsidRDefault="000E3793" w:rsidP="001267F8">
            <w:pPr>
              <w:autoSpaceDE w:val="0"/>
              <w:snapToGrid w:val="0"/>
              <w:ind w:left="93" w:right="48"/>
              <w:rPr>
                <w:sz w:val="20"/>
                <w:szCs w:val="20"/>
                <w:lang w:val="en-GB"/>
              </w:rPr>
            </w:pPr>
            <w:r w:rsidRPr="0031109A">
              <w:rPr>
                <w:sz w:val="20"/>
                <w:szCs w:val="20"/>
                <w:lang w:val="en-GB"/>
              </w:rPr>
              <w:t>0 to 5% by 2020</w:t>
            </w:r>
          </w:p>
        </w:tc>
        <w:tc>
          <w:tcPr>
            <w:tcW w:w="1931" w:type="dxa"/>
          </w:tcPr>
          <w:p w:rsidR="000E3793" w:rsidRPr="0031109A" w:rsidRDefault="000E3793" w:rsidP="001267F8">
            <w:pPr>
              <w:autoSpaceDE w:val="0"/>
              <w:snapToGrid w:val="0"/>
              <w:ind w:right="48"/>
              <w:rPr>
                <w:b/>
                <w:sz w:val="20"/>
                <w:szCs w:val="20"/>
                <w:lang w:val="en-GB"/>
              </w:rPr>
            </w:pPr>
            <w:r w:rsidRPr="0031109A">
              <w:rPr>
                <w:sz w:val="20"/>
                <w:szCs w:val="20"/>
                <w:lang w:val="en-GB"/>
              </w:rPr>
              <w:t>Confirmed</w:t>
            </w:r>
          </w:p>
        </w:tc>
      </w:tr>
      <w:tr w:rsidR="000E3793" w:rsidRPr="0031109A" w:rsidTr="001267F8">
        <w:trPr>
          <w:jc w:val="right"/>
        </w:trPr>
        <w:tc>
          <w:tcPr>
            <w:tcW w:w="1511" w:type="dxa"/>
            <w:shd w:val="clear" w:color="auto" w:fill="auto"/>
          </w:tcPr>
          <w:p w:rsidR="000E3793" w:rsidRPr="0031109A" w:rsidRDefault="000E3793" w:rsidP="001267F8">
            <w:pPr>
              <w:snapToGrid w:val="0"/>
              <w:ind w:right="-14"/>
              <w:jc w:val="both"/>
              <w:rPr>
                <w:b/>
                <w:bCs/>
                <w:sz w:val="20"/>
                <w:szCs w:val="20"/>
                <w:lang w:val="en-GB"/>
              </w:rPr>
            </w:pPr>
            <w:r w:rsidRPr="0031109A">
              <w:rPr>
                <w:b/>
                <w:bCs/>
                <w:sz w:val="20"/>
                <w:szCs w:val="20"/>
                <w:lang w:val="en-GB"/>
              </w:rPr>
              <w:t>Sri Lanka</w:t>
            </w:r>
          </w:p>
        </w:tc>
        <w:tc>
          <w:tcPr>
            <w:tcW w:w="6444" w:type="dxa"/>
            <w:gridSpan w:val="3"/>
            <w:shd w:val="clear" w:color="auto" w:fill="auto"/>
          </w:tcPr>
          <w:p w:rsidR="000E3793" w:rsidRPr="0031109A" w:rsidRDefault="000E3793" w:rsidP="001267F8">
            <w:pPr>
              <w:ind w:left="720" w:right="-180" w:hanging="720"/>
              <w:jc w:val="both"/>
              <w:rPr>
                <w:sz w:val="20"/>
                <w:szCs w:val="20"/>
                <w:lang w:val="en-GB"/>
              </w:rPr>
            </w:pPr>
            <w:r w:rsidRPr="0031109A">
              <w:rPr>
                <w:b/>
                <w:sz w:val="20"/>
                <w:szCs w:val="20"/>
                <w:lang w:val="en-GB"/>
              </w:rPr>
              <w:t>To give position by October 2015 after consulting stakeholders</w:t>
            </w:r>
          </w:p>
        </w:tc>
      </w:tr>
    </w:tbl>
    <w:p w:rsidR="000E3793" w:rsidRPr="00B060F3" w:rsidRDefault="000E3793" w:rsidP="000E3793">
      <w:pPr>
        <w:ind w:left="720" w:right="-180" w:hanging="720"/>
        <w:jc w:val="both"/>
        <w:rPr>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The Special Meeting of the SAFTA COE agreed that till such time all Member States are ready with their alternative proposal, no further Special Meeting of SAFTA COE should be convened. The proposal will be reviewed by the Commerce Secretaries of Member States at the next Meeting of the Committee on Economic Cooperation (CEC).</w:t>
      </w:r>
    </w:p>
    <w:p w:rsidR="000E3793" w:rsidRPr="00B060F3" w:rsidRDefault="000E3793" w:rsidP="000E3793">
      <w:pPr>
        <w:pStyle w:val="ListParagraph"/>
        <w:suppressAutoHyphens w:val="0"/>
        <w:ind w:left="0"/>
        <w:jc w:val="both"/>
        <w:rPr>
          <w:bCs/>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SAARC Chamber of Commerce and Industry (SCCI) represents the private sector in Meeting of SAFTA COE and is given an opportunity to make presentation and put forward their views.</w:t>
      </w:r>
    </w:p>
    <w:p w:rsidR="000E3793" w:rsidRPr="00B060F3" w:rsidRDefault="000E3793" w:rsidP="000E3793">
      <w:pPr>
        <w:tabs>
          <w:tab w:val="left" w:pos="720"/>
        </w:tabs>
        <w:jc w:val="both"/>
        <w:rPr>
          <w:b/>
          <w:iCs/>
          <w:lang w:val="en-GB"/>
        </w:rPr>
      </w:pPr>
    </w:p>
    <w:p w:rsidR="000E3793" w:rsidRPr="00B060F3" w:rsidRDefault="000E3793" w:rsidP="000E3793">
      <w:pPr>
        <w:tabs>
          <w:tab w:val="left" w:pos="720"/>
        </w:tabs>
        <w:jc w:val="both"/>
        <w:rPr>
          <w:b/>
          <w:iCs/>
          <w:color w:val="000000"/>
          <w:lang w:val="en-GB"/>
        </w:rPr>
      </w:pPr>
      <w:r w:rsidRPr="00B060F3">
        <w:rPr>
          <w:b/>
          <w:iCs/>
          <w:lang w:val="en-GB"/>
        </w:rPr>
        <w:t>Removal</w:t>
      </w:r>
      <w:r w:rsidRPr="00B060F3">
        <w:rPr>
          <w:b/>
          <w:iCs/>
          <w:color w:val="000000"/>
          <w:lang w:val="en-GB"/>
        </w:rPr>
        <w:t xml:space="preserve"> of Non-Tariff and Para-tariff Barriers</w:t>
      </w:r>
    </w:p>
    <w:p w:rsidR="000E3793" w:rsidRPr="00B060F3" w:rsidRDefault="000E3793" w:rsidP="000E3793">
      <w:pPr>
        <w:pStyle w:val="BodyText"/>
        <w:jc w:val="both"/>
        <w:rPr>
          <w:rFonts w:ascii="Times New Roman" w:hAnsi="Times New Roman"/>
          <w:b w:val="0"/>
          <w:bCs/>
          <w:color w:val="000000"/>
          <w:sz w:val="24"/>
          <w:szCs w:val="24"/>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The SCOE at its First Meeting set up a Sub-Group on Non-Tariff Measures (NTMs) to address non-tariff barriers to intra-regional trade. Six meetings of the Sub-Group were held. At its last meeting on 11-12 June 2011 in the Maldives, the Sub Group completed its task of identification of Non-Tariff Measures/Para Tariff Measures (NTMs/PTMs). It was agreed that the remaining task of categorisation of NTMs/PTMs and their possible elimination and to see whether they are compatible with WTO or not would be taken up by the regular Meetings of SCOE.</w:t>
      </w:r>
    </w:p>
    <w:p w:rsidR="000E3793" w:rsidRPr="00B060F3" w:rsidRDefault="000E3793" w:rsidP="000E3793">
      <w:pPr>
        <w:tabs>
          <w:tab w:val="left" w:pos="720"/>
        </w:tabs>
        <w:jc w:val="both"/>
        <w:rPr>
          <w:bCs/>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 xml:space="preserve"> A Special Meeting of the SCOE on NTMs/PTMs was held at the SAARC Secretariat on 31 July-1 August 2013 in order to go through the Notification of each Member State and to see how those can be eliminated. SCCI made a presentation on “Non-Tariff Barriers in South Asia: The Challenges and Way Forward”.</w:t>
      </w:r>
    </w:p>
    <w:p w:rsidR="000E3793" w:rsidRPr="00B060F3" w:rsidRDefault="000E3793" w:rsidP="000E3793">
      <w:pPr>
        <w:pStyle w:val="NormalWeb"/>
        <w:shd w:val="clear" w:color="auto" w:fill="FFFFFF"/>
        <w:spacing w:before="0" w:beforeAutospacing="0" w:after="0" w:afterAutospacing="0"/>
        <w:jc w:val="both"/>
        <w:rPr>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lastRenderedPageBreak/>
        <w:t>The Special Meeting of the SCOE examined the Notifications, Responses and Counter-Responses submitted by Bangladesh, India, Nepal, Pakistan and Sri Lanka, and observed that the non-tariff measures and para-tariff measures affecting their exports to other Member States fall into the following broad categories i.e. (a) Procedures; (b) Variations in Standards; (c) Transit, transport and infrastructural difficulties; (d) Para-tariff measures; and (e) Dispute Settlement Mechanism. In view of technical nature of the work involved in categorizing the Non-Tariff Measures and Para-Tariff Measures in appropriate categories as per internationally recognized norms, the Meeting recommended that a Consultant may be appointed by the SAARC Secretariat to examine the notifications on NTMs/PTMs submitted by Member States and to look into all relevant aspects and make suggestions on how to address the trade barriers.</w:t>
      </w:r>
    </w:p>
    <w:p w:rsidR="000E3793" w:rsidRPr="00B060F3" w:rsidRDefault="000E3793" w:rsidP="000E3793">
      <w:pPr>
        <w:pStyle w:val="ListParagraph"/>
        <w:suppressAutoHyphens w:val="0"/>
        <w:ind w:left="0"/>
        <w:jc w:val="both"/>
        <w:rPr>
          <w:bCs/>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The Consultant who conducted the Second Phase of Study on Regional Economic Integration examined all issues relating to NTMs/PTMs. The SAARC-Trade Promotion Network (TPN), comprising twenty-eight public and private sector organisations in eight Member States, has also brought out a detailed study on NTMs which was presented to the Ninth Meeting of SCOE (</w:t>
      </w:r>
      <w:proofErr w:type="spellStart"/>
      <w:r w:rsidRPr="00B060F3">
        <w:rPr>
          <w:lang w:val="en-GB"/>
        </w:rPr>
        <w:t>Thimphu</w:t>
      </w:r>
      <w:proofErr w:type="spellEnd"/>
      <w:r w:rsidRPr="00B060F3">
        <w:rPr>
          <w:lang w:val="en-GB"/>
        </w:rPr>
        <w:t>, 22-23 July 2014). The Member States have also been requested to give their fresh Notifications on NTMs/PTMs as required under SAFTA Agreement.</w:t>
      </w:r>
    </w:p>
    <w:p w:rsidR="000E3793" w:rsidRPr="00B060F3" w:rsidRDefault="000E3793" w:rsidP="000E3793">
      <w:pPr>
        <w:rPr>
          <w:b/>
          <w:u w:val="single"/>
          <w:lang w:val="en-GB"/>
        </w:rPr>
      </w:pPr>
    </w:p>
    <w:p w:rsidR="000E3793" w:rsidRPr="00B060F3" w:rsidRDefault="000E3793" w:rsidP="000E3793">
      <w:pPr>
        <w:rPr>
          <w:b/>
          <w:color w:val="000000"/>
          <w:u w:val="single"/>
          <w:lang w:val="en-GB"/>
        </w:rPr>
      </w:pPr>
      <w:r w:rsidRPr="00B060F3">
        <w:rPr>
          <w:b/>
          <w:u w:val="single"/>
          <w:lang w:val="en-GB"/>
        </w:rPr>
        <w:t>Further Reduction in the Sensitive Lists under SAFTA</w:t>
      </w:r>
    </w:p>
    <w:p w:rsidR="000E3793" w:rsidRPr="00B060F3" w:rsidRDefault="000E3793" w:rsidP="000E3793">
      <w:pPr>
        <w:pStyle w:val="ListParagraph"/>
        <w:ind w:left="0"/>
        <w:jc w:val="both"/>
        <w:rPr>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 xml:space="preserve"> The Sixth Meeting of the SMC (Islamabad, 16 February 2012) established a Working Group to further reduce the number of products in the Sensitive Lists under SAFTA. In its Second Meeting (SAARC Secretariat, 30 July 2013), the Working Group on Reduction in the Sensitive Lists under SAFTA (Phase-III) reviewed the progress of implementation of decisions relating to reduction in the Sensitive Lists as agreed during Phase-II. The current status of the number of products covered in the Sensitive Lists of Member States before and after the 20% or more reduction is as given below:</w:t>
      </w:r>
    </w:p>
    <w:p w:rsidR="000E3793" w:rsidRPr="00B060F3" w:rsidRDefault="000E3793" w:rsidP="000E3793">
      <w:pPr>
        <w:jc w:val="both"/>
        <w:rPr>
          <w:lang w:val="en-GB"/>
        </w:rPr>
      </w:pP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
        <w:gridCol w:w="1697"/>
        <w:gridCol w:w="2276"/>
        <w:gridCol w:w="2276"/>
      </w:tblGrid>
      <w:tr w:rsidR="000E3793" w:rsidRPr="0031109A" w:rsidTr="001267F8">
        <w:trPr>
          <w:jc w:val="center"/>
        </w:trPr>
        <w:tc>
          <w:tcPr>
            <w:tcW w:w="1391" w:type="dxa"/>
            <w:shd w:val="clear" w:color="auto" w:fill="auto"/>
          </w:tcPr>
          <w:p w:rsidR="000E3793" w:rsidRPr="0031109A" w:rsidRDefault="000E3793" w:rsidP="001267F8">
            <w:pPr>
              <w:jc w:val="center"/>
              <w:rPr>
                <w:b/>
                <w:sz w:val="20"/>
                <w:szCs w:val="20"/>
                <w:lang w:val="en-GB"/>
              </w:rPr>
            </w:pPr>
            <w:r w:rsidRPr="0031109A">
              <w:rPr>
                <w:b/>
                <w:sz w:val="20"/>
                <w:szCs w:val="20"/>
                <w:lang w:val="en-GB"/>
              </w:rPr>
              <w:t xml:space="preserve">Member </w:t>
            </w:r>
          </w:p>
          <w:p w:rsidR="000E3793" w:rsidRPr="0031109A" w:rsidRDefault="000E3793" w:rsidP="001267F8">
            <w:pPr>
              <w:jc w:val="center"/>
              <w:rPr>
                <w:b/>
                <w:sz w:val="20"/>
                <w:szCs w:val="20"/>
                <w:lang w:val="en-GB"/>
              </w:rPr>
            </w:pPr>
            <w:r w:rsidRPr="0031109A">
              <w:rPr>
                <w:b/>
                <w:sz w:val="20"/>
                <w:szCs w:val="20"/>
                <w:lang w:val="en-GB"/>
              </w:rPr>
              <w:t>State</w:t>
            </w:r>
          </w:p>
        </w:tc>
        <w:tc>
          <w:tcPr>
            <w:tcW w:w="1697" w:type="dxa"/>
            <w:shd w:val="clear" w:color="auto" w:fill="auto"/>
          </w:tcPr>
          <w:p w:rsidR="000E3793" w:rsidRPr="0031109A" w:rsidRDefault="000E3793" w:rsidP="001267F8">
            <w:pPr>
              <w:jc w:val="center"/>
              <w:rPr>
                <w:b/>
                <w:sz w:val="20"/>
                <w:szCs w:val="20"/>
                <w:lang w:val="en-GB"/>
              </w:rPr>
            </w:pPr>
            <w:r w:rsidRPr="0031109A">
              <w:rPr>
                <w:b/>
                <w:sz w:val="20"/>
                <w:szCs w:val="20"/>
                <w:lang w:val="en-GB"/>
              </w:rPr>
              <w:t xml:space="preserve">Number of Products in the original Sensitive Lists </w:t>
            </w:r>
          </w:p>
        </w:tc>
        <w:tc>
          <w:tcPr>
            <w:tcW w:w="2276" w:type="dxa"/>
          </w:tcPr>
          <w:p w:rsidR="000E3793" w:rsidRPr="0031109A" w:rsidRDefault="000E3793" w:rsidP="001267F8">
            <w:pPr>
              <w:jc w:val="center"/>
              <w:rPr>
                <w:b/>
                <w:sz w:val="20"/>
                <w:szCs w:val="20"/>
                <w:lang w:val="en-GB"/>
              </w:rPr>
            </w:pPr>
            <w:r w:rsidRPr="0031109A">
              <w:rPr>
                <w:b/>
                <w:sz w:val="20"/>
                <w:szCs w:val="20"/>
                <w:lang w:val="en-GB"/>
              </w:rPr>
              <w:t>Number of Products in the Revised Sensitive Lists (Phase-II)</w:t>
            </w:r>
          </w:p>
        </w:tc>
        <w:tc>
          <w:tcPr>
            <w:tcW w:w="2276" w:type="dxa"/>
          </w:tcPr>
          <w:p w:rsidR="000E3793" w:rsidRPr="0031109A" w:rsidRDefault="000E3793" w:rsidP="001267F8">
            <w:pPr>
              <w:jc w:val="center"/>
              <w:rPr>
                <w:b/>
                <w:sz w:val="20"/>
                <w:szCs w:val="20"/>
                <w:lang w:val="en-GB"/>
              </w:rPr>
            </w:pPr>
            <w:r w:rsidRPr="0031109A">
              <w:rPr>
                <w:b/>
                <w:sz w:val="20"/>
                <w:szCs w:val="20"/>
                <w:lang w:val="en-GB"/>
              </w:rPr>
              <w:t>Status of Receipt of Revised Sensitive Lists as per HS-2012</w:t>
            </w:r>
          </w:p>
        </w:tc>
      </w:tr>
      <w:tr w:rsidR="000E3793" w:rsidRPr="0031109A" w:rsidTr="001267F8">
        <w:trPr>
          <w:trHeight w:val="251"/>
          <w:jc w:val="center"/>
        </w:trPr>
        <w:tc>
          <w:tcPr>
            <w:tcW w:w="1391" w:type="dxa"/>
          </w:tcPr>
          <w:p w:rsidR="000E3793" w:rsidRPr="0031109A" w:rsidRDefault="000E3793" w:rsidP="001267F8">
            <w:pPr>
              <w:jc w:val="center"/>
              <w:rPr>
                <w:sz w:val="20"/>
                <w:szCs w:val="20"/>
                <w:lang w:val="en-GB"/>
              </w:rPr>
            </w:pPr>
            <w:r w:rsidRPr="0031109A">
              <w:rPr>
                <w:sz w:val="20"/>
                <w:szCs w:val="20"/>
                <w:lang w:val="en-GB"/>
              </w:rPr>
              <w:t>(1)</w:t>
            </w:r>
          </w:p>
        </w:tc>
        <w:tc>
          <w:tcPr>
            <w:tcW w:w="1697" w:type="dxa"/>
          </w:tcPr>
          <w:p w:rsidR="000E3793" w:rsidRPr="0031109A" w:rsidRDefault="000E3793" w:rsidP="001267F8">
            <w:pPr>
              <w:jc w:val="center"/>
              <w:rPr>
                <w:sz w:val="20"/>
                <w:szCs w:val="20"/>
                <w:lang w:val="en-GB"/>
              </w:rPr>
            </w:pPr>
            <w:r w:rsidRPr="0031109A">
              <w:rPr>
                <w:sz w:val="20"/>
                <w:szCs w:val="20"/>
                <w:lang w:val="en-GB"/>
              </w:rPr>
              <w:t>(2)</w:t>
            </w:r>
          </w:p>
        </w:tc>
        <w:tc>
          <w:tcPr>
            <w:tcW w:w="2276" w:type="dxa"/>
          </w:tcPr>
          <w:p w:rsidR="000E3793" w:rsidRPr="0031109A" w:rsidRDefault="000E3793" w:rsidP="001267F8">
            <w:pPr>
              <w:jc w:val="center"/>
              <w:rPr>
                <w:sz w:val="20"/>
                <w:szCs w:val="20"/>
                <w:lang w:val="en-GB"/>
              </w:rPr>
            </w:pPr>
            <w:r w:rsidRPr="0031109A">
              <w:rPr>
                <w:sz w:val="20"/>
                <w:szCs w:val="20"/>
                <w:lang w:val="en-GB"/>
              </w:rPr>
              <w:t>(3)</w:t>
            </w:r>
          </w:p>
        </w:tc>
        <w:tc>
          <w:tcPr>
            <w:tcW w:w="2276" w:type="dxa"/>
          </w:tcPr>
          <w:p w:rsidR="000E3793" w:rsidRPr="0031109A" w:rsidRDefault="000E3793" w:rsidP="001267F8">
            <w:pPr>
              <w:jc w:val="center"/>
              <w:rPr>
                <w:sz w:val="20"/>
                <w:szCs w:val="20"/>
                <w:lang w:val="en-GB"/>
              </w:rPr>
            </w:pPr>
            <w:r w:rsidRPr="0031109A">
              <w:rPr>
                <w:sz w:val="20"/>
                <w:szCs w:val="20"/>
                <w:lang w:val="en-GB"/>
              </w:rPr>
              <w:t>(4)</w:t>
            </w:r>
          </w:p>
        </w:tc>
      </w:tr>
      <w:tr w:rsidR="000E3793" w:rsidRPr="0031109A" w:rsidTr="001267F8">
        <w:trPr>
          <w:jc w:val="center"/>
        </w:trPr>
        <w:tc>
          <w:tcPr>
            <w:tcW w:w="1391" w:type="dxa"/>
          </w:tcPr>
          <w:p w:rsidR="000E3793" w:rsidRPr="0031109A" w:rsidRDefault="000E3793" w:rsidP="001267F8">
            <w:pPr>
              <w:jc w:val="both"/>
              <w:rPr>
                <w:sz w:val="20"/>
                <w:szCs w:val="20"/>
                <w:lang w:val="en-GB"/>
              </w:rPr>
            </w:pPr>
            <w:r w:rsidRPr="0031109A">
              <w:rPr>
                <w:sz w:val="20"/>
                <w:szCs w:val="20"/>
                <w:lang w:val="en-GB"/>
              </w:rPr>
              <w:t>Afghanistan</w:t>
            </w:r>
          </w:p>
        </w:tc>
        <w:tc>
          <w:tcPr>
            <w:tcW w:w="1697" w:type="dxa"/>
          </w:tcPr>
          <w:p w:rsidR="000E3793" w:rsidRPr="0031109A" w:rsidRDefault="000E3793" w:rsidP="001267F8">
            <w:pPr>
              <w:jc w:val="both"/>
              <w:rPr>
                <w:sz w:val="20"/>
                <w:szCs w:val="20"/>
                <w:lang w:val="en-GB"/>
              </w:rPr>
            </w:pPr>
            <w:r w:rsidRPr="0031109A">
              <w:rPr>
                <w:sz w:val="20"/>
                <w:szCs w:val="20"/>
                <w:lang w:val="en-GB"/>
              </w:rPr>
              <w:t xml:space="preserve">1072  </w:t>
            </w:r>
          </w:p>
        </w:tc>
        <w:tc>
          <w:tcPr>
            <w:tcW w:w="2276" w:type="dxa"/>
          </w:tcPr>
          <w:p w:rsidR="000E3793" w:rsidRPr="0031109A" w:rsidRDefault="000E3793" w:rsidP="001267F8">
            <w:pPr>
              <w:jc w:val="both"/>
              <w:rPr>
                <w:b/>
                <w:sz w:val="20"/>
                <w:szCs w:val="20"/>
                <w:lang w:val="en-GB"/>
              </w:rPr>
            </w:pPr>
            <w:r w:rsidRPr="0031109A">
              <w:rPr>
                <w:sz w:val="20"/>
                <w:szCs w:val="20"/>
                <w:lang w:val="en-GB"/>
              </w:rPr>
              <w:t>850</w:t>
            </w:r>
          </w:p>
        </w:tc>
        <w:tc>
          <w:tcPr>
            <w:tcW w:w="2276" w:type="dxa"/>
          </w:tcPr>
          <w:p w:rsidR="000E3793" w:rsidRPr="0031109A" w:rsidRDefault="000E3793" w:rsidP="001267F8">
            <w:pPr>
              <w:jc w:val="center"/>
              <w:rPr>
                <w:b/>
                <w:sz w:val="20"/>
                <w:szCs w:val="20"/>
                <w:lang w:val="en-GB"/>
              </w:rPr>
            </w:pPr>
            <w:r w:rsidRPr="0031109A">
              <w:rPr>
                <w:b/>
                <w:sz w:val="20"/>
                <w:szCs w:val="20"/>
                <w:lang w:val="en-GB"/>
              </w:rPr>
              <w:t xml:space="preserve"> Not received</w:t>
            </w:r>
          </w:p>
        </w:tc>
      </w:tr>
      <w:tr w:rsidR="000E3793" w:rsidRPr="0031109A" w:rsidTr="001267F8">
        <w:trPr>
          <w:jc w:val="center"/>
        </w:trPr>
        <w:tc>
          <w:tcPr>
            <w:tcW w:w="1391" w:type="dxa"/>
          </w:tcPr>
          <w:p w:rsidR="000E3793" w:rsidRPr="0031109A" w:rsidRDefault="000E3793" w:rsidP="001267F8">
            <w:pPr>
              <w:jc w:val="both"/>
              <w:rPr>
                <w:sz w:val="20"/>
                <w:szCs w:val="20"/>
                <w:lang w:val="en-GB"/>
              </w:rPr>
            </w:pPr>
            <w:r w:rsidRPr="0031109A">
              <w:rPr>
                <w:sz w:val="20"/>
                <w:szCs w:val="20"/>
                <w:lang w:val="en-GB"/>
              </w:rPr>
              <w:t>Bangladesh</w:t>
            </w:r>
          </w:p>
        </w:tc>
        <w:tc>
          <w:tcPr>
            <w:tcW w:w="1697" w:type="dxa"/>
          </w:tcPr>
          <w:p w:rsidR="000E3793" w:rsidRPr="0031109A" w:rsidRDefault="000E3793" w:rsidP="001267F8">
            <w:pPr>
              <w:jc w:val="both"/>
              <w:rPr>
                <w:sz w:val="20"/>
                <w:szCs w:val="20"/>
                <w:lang w:val="en-GB"/>
              </w:rPr>
            </w:pPr>
            <w:r w:rsidRPr="0031109A">
              <w:rPr>
                <w:sz w:val="20"/>
                <w:szCs w:val="20"/>
                <w:lang w:val="en-GB"/>
              </w:rPr>
              <w:t>1233 (LDCs)</w:t>
            </w:r>
          </w:p>
          <w:p w:rsidR="000E3793" w:rsidRPr="0031109A" w:rsidRDefault="000E3793" w:rsidP="001267F8">
            <w:pPr>
              <w:jc w:val="both"/>
              <w:rPr>
                <w:sz w:val="20"/>
                <w:szCs w:val="20"/>
                <w:lang w:val="en-GB"/>
              </w:rPr>
            </w:pPr>
            <w:r w:rsidRPr="0031109A">
              <w:rPr>
                <w:sz w:val="20"/>
                <w:szCs w:val="20"/>
                <w:lang w:val="en-GB"/>
              </w:rPr>
              <w:t>1241 (NLDCs)</w:t>
            </w:r>
          </w:p>
        </w:tc>
        <w:tc>
          <w:tcPr>
            <w:tcW w:w="2276" w:type="dxa"/>
          </w:tcPr>
          <w:p w:rsidR="000E3793" w:rsidRPr="0031109A" w:rsidRDefault="000E3793" w:rsidP="001267F8">
            <w:pPr>
              <w:jc w:val="both"/>
              <w:rPr>
                <w:sz w:val="20"/>
                <w:szCs w:val="20"/>
                <w:lang w:val="en-GB"/>
              </w:rPr>
            </w:pPr>
            <w:r w:rsidRPr="0031109A">
              <w:rPr>
                <w:sz w:val="20"/>
                <w:szCs w:val="20"/>
                <w:lang w:val="en-GB"/>
              </w:rPr>
              <w:t>987 (LDCs)</w:t>
            </w:r>
          </w:p>
          <w:p w:rsidR="000E3793" w:rsidRPr="0031109A" w:rsidRDefault="000E3793" w:rsidP="001267F8">
            <w:pPr>
              <w:jc w:val="both"/>
              <w:rPr>
                <w:sz w:val="20"/>
                <w:szCs w:val="20"/>
                <w:lang w:val="en-GB"/>
              </w:rPr>
            </w:pPr>
            <w:r w:rsidRPr="0031109A">
              <w:rPr>
                <w:sz w:val="20"/>
                <w:szCs w:val="20"/>
                <w:lang w:val="en-GB"/>
              </w:rPr>
              <w:t>993 (NLDCs)</w:t>
            </w:r>
          </w:p>
        </w:tc>
        <w:tc>
          <w:tcPr>
            <w:tcW w:w="2276" w:type="dxa"/>
          </w:tcPr>
          <w:p w:rsidR="000E3793" w:rsidRPr="0031109A" w:rsidRDefault="000E3793" w:rsidP="001267F8">
            <w:pPr>
              <w:jc w:val="center"/>
              <w:rPr>
                <w:b/>
                <w:sz w:val="20"/>
                <w:szCs w:val="20"/>
                <w:lang w:val="en-GB"/>
              </w:rPr>
            </w:pPr>
            <w:r w:rsidRPr="0031109A">
              <w:rPr>
                <w:b/>
                <w:sz w:val="20"/>
                <w:szCs w:val="20"/>
                <w:lang w:val="en-GB"/>
              </w:rPr>
              <w:t>Received</w:t>
            </w:r>
          </w:p>
        </w:tc>
      </w:tr>
      <w:tr w:rsidR="000E3793" w:rsidRPr="0031109A" w:rsidTr="001267F8">
        <w:trPr>
          <w:jc w:val="center"/>
        </w:trPr>
        <w:tc>
          <w:tcPr>
            <w:tcW w:w="1391" w:type="dxa"/>
          </w:tcPr>
          <w:p w:rsidR="000E3793" w:rsidRPr="0031109A" w:rsidRDefault="000E3793" w:rsidP="001267F8">
            <w:pPr>
              <w:jc w:val="both"/>
              <w:rPr>
                <w:sz w:val="20"/>
                <w:szCs w:val="20"/>
                <w:lang w:val="en-GB"/>
              </w:rPr>
            </w:pPr>
            <w:r w:rsidRPr="0031109A">
              <w:rPr>
                <w:sz w:val="20"/>
                <w:szCs w:val="20"/>
                <w:lang w:val="en-GB"/>
              </w:rPr>
              <w:t>Bhutan</w:t>
            </w:r>
          </w:p>
        </w:tc>
        <w:tc>
          <w:tcPr>
            <w:tcW w:w="1697" w:type="dxa"/>
          </w:tcPr>
          <w:p w:rsidR="000E3793" w:rsidRPr="0031109A" w:rsidRDefault="000E3793" w:rsidP="001267F8">
            <w:pPr>
              <w:jc w:val="both"/>
              <w:rPr>
                <w:sz w:val="20"/>
                <w:szCs w:val="20"/>
                <w:lang w:val="en-GB"/>
              </w:rPr>
            </w:pPr>
            <w:r w:rsidRPr="0031109A">
              <w:rPr>
                <w:sz w:val="20"/>
                <w:szCs w:val="20"/>
                <w:lang w:val="en-GB"/>
              </w:rPr>
              <w:t>150</w:t>
            </w:r>
          </w:p>
        </w:tc>
        <w:tc>
          <w:tcPr>
            <w:tcW w:w="2276" w:type="dxa"/>
          </w:tcPr>
          <w:p w:rsidR="000E3793" w:rsidRPr="0031109A" w:rsidRDefault="000E3793" w:rsidP="001267F8">
            <w:pPr>
              <w:jc w:val="both"/>
              <w:rPr>
                <w:sz w:val="20"/>
                <w:szCs w:val="20"/>
                <w:lang w:val="en-GB"/>
              </w:rPr>
            </w:pPr>
            <w:r w:rsidRPr="0031109A">
              <w:rPr>
                <w:sz w:val="20"/>
                <w:szCs w:val="20"/>
                <w:lang w:val="en-GB"/>
              </w:rPr>
              <w:t xml:space="preserve">156 </w:t>
            </w:r>
            <w:r w:rsidRPr="0031109A">
              <w:rPr>
                <w:b/>
                <w:sz w:val="20"/>
                <w:szCs w:val="20"/>
                <w:lang w:val="en-GB"/>
              </w:rPr>
              <w:t xml:space="preserve"> </w:t>
            </w:r>
          </w:p>
        </w:tc>
        <w:tc>
          <w:tcPr>
            <w:tcW w:w="2276" w:type="dxa"/>
          </w:tcPr>
          <w:p w:rsidR="000E3793" w:rsidRPr="0031109A" w:rsidRDefault="000E3793" w:rsidP="001267F8">
            <w:pPr>
              <w:jc w:val="center"/>
              <w:rPr>
                <w:b/>
                <w:sz w:val="20"/>
                <w:szCs w:val="20"/>
                <w:lang w:val="en-GB"/>
              </w:rPr>
            </w:pPr>
            <w:r w:rsidRPr="0031109A">
              <w:rPr>
                <w:b/>
                <w:sz w:val="20"/>
                <w:szCs w:val="20"/>
                <w:lang w:val="en-GB"/>
              </w:rPr>
              <w:t>Received</w:t>
            </w:r>
          </w:p>
        </w:tc>
      </w:tr>
      <w:tr w:rsidR="000E3793" w:rsidRPr="0031109A" w:rsidTr="001267F8">
        <w:trPr>
          <w:jc w:val="center"/>
        </w:trPr>
        <w:tc>
          <w:tcPr>
            <w:tcW w:w="1391" w:type="dxa"/>
          </w:tcPr>
          <w:p w:rsidR="000E3793" w:rsidRPr="0031109A" w:rsidRDefault="000E3793" w:rsidP="001267F8">
            <w:pPr>
              <w:jc w:val="both"/>
              <w:rPr>
                <w:sz w:val="20"/>
                <w:szCs w:val="20"/>
                <w:lang w:val="en-GB"/>
              </w:rPr>
            </w:pPr>
            <w:r w:rsidRPr="0031109A">
              <w:rPr>
                <w:sz w:val="20"/>
                <w:szCs w:val="20"/>
                <w:lang w:val="en-GB"/>
              </w:rPr>
              <w:t>India</w:t>
            </w:r>
          </w:p>
        </w:tc>
        <w:tc>
          <w:tcPr>
            <w:tcW w:w="1697" w:type="dxa"/>
          </w:tcPr>
          <w:p w:rsidR="000E3793" w:rsidRPr="0031109A" w:rsidRDefault="000E3793" w:rsidP="001267F8">
            <w:pPr>
              <w:jc w:val="both"/>
              <w:rPr>
                <w:sz w:val="20"/>
                <w:szCs w:val="20"/>
                <w:lang w:val="en-GB"/>
              </w:rPr>
            </w:pPr>
            <w:r w:rsidRPr="0031109A">
              <w:rPr>
                <w:sz w:val="20"/>
                <w:szCs w:val="20"/>
                <w:lang w:val="en-GB"/>
              </w:rPr>
              <w:t>480 (LDCs)</w:t>
            </w:r>
          </w:p>
          <w:p w:rsidR="000E3793" w:rsidRPr="0031109A" w:rsidRDefault="000E3793" w:rsidP="001267F8">
            <w:pPr>
              <w:jc w:val="both"/>
              <w:rPr>
                <w:sz w:val="20"/>
                <w:szCs w:val="20"/>
                <w:lang w:val="en-GB"/>
              </w:rPr>
            </w:pPr>
            <w:r w:rsidRPr="0031109A">
              <w:rPr>
                <w:sz w:val="20"/>
                <w:szCs w:val="20"/>
                <w:lang w:val="en-GB"/>
              </w:rPr>
              <w:t>868  (NLDCs)</w:t>
            </w:r>
          </w:p>
        </w:tc>
        <w:tc>
          <w:tcPr>
            <w:tcW w:w="2276" w:type="dxa"/>
          </w:tcPr>
          <w:p w:rsidR="000E3793" w:rsidRPr="0031109A" w:rsidRDefault="000E3793" w:rsidP="001267F8">
            <w:pPr>
              <w:jc w:val="both"/>
              <w:rPr>
                <w:sz w:val="20"/>
                <w:szCs w:val="20"/>
                <w:lang w:val="en-GB"/>
              </w:rPr>
            </w:pPr>
            <w:r w:rsidRPr="0031109A">
              <w:rPr>
                <w:sz w:val="20"/>
                <w:szCs w:val="20"/>
                <w:lang w:val="en-GB"/>
              </w:rPr>
              <w:t>25 (LDCs)</w:t>
            </w:r>
          </w:p>
          <w:p w:rsidR="000E3793" w:rsidRPr="0031109A" w:rsidRDefault="000E3793" w:rsidP="001267F8">
            <w:pPr>
              <w:jc w:val="both"/>
              <w:rPr>
                <w:bCs/>
                <w:sz w:val="20"/>
                <w:szCs w:val="20"/>
                <w:lang w:val="en-GB"/>
              </w:rPr>
            </w:pPr>
            <w:r w:rsidRPr="0031109A">
              <w:rPr>
                <w:bCs/>
                <w:sz w:val="20"/>
                <w:szCs w:val="20"/>
                <w:lang w:val="en-GB"/>
              </w:rPr>
              <w:t xml:space="preserve">614 (NLDCs) </w:t>
            </w:r>
          </w:p>
        </w:tc>
        <w:tc>
          <w:tcPr>
            <w:tcW w:w="2276" w:type="dxa"/>
          </w:tcPr>
          <w:p w:rsidR="000E3793" w:rsidRPr="0031109A" w:rsidRDefault="000E3793" w:rsidP="001267F8">
            <w:pPr>
              <w:jc w:val="center"/>
              <w:rPr>
                <w:b/>
                <w:sz w:val="20"/>
                <w:szCs w:val="20"/>
                <w:lang w:val="en-GB"/>
              </w:rPr>
            </w:pPr>
            <w:r w:rsidRPr="0031109A">
              <w:rPr>
                <w:b/>
                <w:sz w:val="20"/>
                <w:szCs w:val="20"/>
                <w:lang w:val="en-GB"/>
              </w:rPr>
              <w:t>Received</w:t>
            </w:r>
          </w:p>
        </w:tc>
      </w:tr>
      <w:tr w:rsidR="000E3793" w:rsidRPr="0031109A" w:rsidTr="001267F8">
        <w:trPr>
          <w:jc w:val="center"/>
        </w:trPr>
        <w:tc>
          <w:tcPr>
            <w:tcW w:w="1391" w:type="dxa"/>
          </w:tcPr>
          <w:p w:rsidR="000E3793" w:rsidRPr="0031109A" w:rsidRDefault="000E3793" w:rsidP="001267F8">
            <w:pPr>
              <w:jc w:val="both"/>
              <w:rPr>
                <w:sz w:val="20"/>
                <w:szCs w:val="20"/>
                <w:lang w:val="en-GB"/>
              </w:rPr>
            </w:pPr>
            <w:r w:rsidRPr="0031109A">
              <w:rPr>
                <w:sz w:val="20"/>
                <w:szCs w:val="20"/>
                <w:lang w:val="en-GB"/>
              </w:rPr>
              <w:t>Maldives</w:t>
            </w:r>
          </w:p>
        </w:tc>
        <w:tc>
          <w:tcPr>
            <w:tcW w:w="1697" w:type="dxa"/>
          </w:tcPr>
          <w:p w:rsidR="000E3793" w:rsidRPr="0031109A" w:rsidRDefault="000E3793" w:rsidP="001267F8">
            <w:pPr>
              <w:jc w:val="both"/>
              <w:rPr>
                <w:sz w:val="20"/>
                <w:szCs w:val="20"/>
                <w:lang w:val="en-GB"/>
              </w:rPr>
            </w:pPr>
            <w:r w:rsidRPr="0031109A">
              <w:rPr>
                <w:sz w:val="20"/>
                <w:szCs w:val="20"/>
                <w:lang w:val="en-GB"/>
              </w:rPr>
              <w:t>681</w:t>
            </w:r>
          </w:p>
        </w:tc>
        <w:tc>
          <w:tcPr>
            <w:tcW w:w="2276" w:type="dxa"/>
          </w:tcPr>
          <w:p w:rsidR="000E3793" w:rsidRPr="0031109A" w:rsidRDefault="000E3793" w:rsidP="001267F8">
            <w:pPr>
              <w:jc w:val="both"/>
              <w:rPr>
                <w:b/>
                <w:sz w:val="20"/>
                <w:szCs w:val="20"/>
                <w:lang w:val="en-GB"/>
              </w:rPr>
            </w:pPr>
            <w:r w:rsidRPr="0031109A">
              <w:rPr>
                <w:sz w:val="20"/>
                <w:szCs w:val="20"/>
                <w:lang w:val="en-GB"/>
              </w:rPr>
              <w:t xml:space="preserve">154 </w:t>
            </w:r>
            <w:r w:rsidRPr="0031109A">
              <w:rPr>
                <w:b/>
                <w:sz w:val="20"/>
                <w:szCs w:val="20"/>
                <w:lang w:val="en-GB"/>
              </w:rPr>
              <w:t xml:space="preserve"> </w:t>
            </w:r>
          </w:p>
          <w:p w:rsidR="000E3793" w:rsidRPr="0031109A" w:rsidRDefault="000E3793" w:rsidP="001267F8">
            <w:pPr>
              <w:jc w:val="both"/>
              <w:rPr>
                <w:sz w:val="20"/>
                <w:szCs w:val="20"/>
                <w:lang w:val="en-GB"/>
              </w:rPr>
            </w:pPr>
          </w:p>
        </w:tc>
        <w:tc>
          <w:tcPr>
            <w:tcW w:w="2276" w:type="dxa"/>
          </w:tcPr>
          <w:p w:rsidR="000E3793" w:rsidRPr="0031109A" w:rsidRDefault="000E3793" w:rsidP="001267F8">
            <w:pPr>
              <w:jc w:val="center"/>
              <w:rPr>
                <w:b/>
                <w:sz w:val="20"/>
                <w:szCs w:val="20"/>
                <w:lang w:val="en-GB"/>
              </w:rPr>
            </w:pPr>
            <w:r w:rsidRPr="0031109A">
              <w:rPr>
                <w:b/>
                <w:sz w:val="20"/>
                <w:szCs w:val="20"/>
                <w:lang w:val="en-GB"/>
              </w:rPr>
              <w:t>Received</w:t>
            </w:r>
          </w:p>
        </w:tc>
      </w:tr>
      <w:tr w:rsidR="000E3793" w:rsidRPr="0031109A" w:rsidTr="001267F8">
        <w:trPr>
          <w:jc w:val="center"/>
        </w:trPr>
        <w:tc>
          <w:tcPr>
            <w:tcW w:w="1391" w:type="dxa"/>
          </w:tcPr>
          <w:p w:rsidR="000E3793" w:rsidRPr="0031109A" w:rsidRDefault="000E3793" w:rsidP="001267F8">
            <w:pPr>
              <w:jc w:val="both"/>
              <w:rPr>
                <w:sz w:val="20"/>
                <w:szCs w:val="20"/>
                <w:lang w:val="en-GB"/>
              </w:rPr>
            </w:pPr>
            <w:r w:rsidRPr="0031109A">
              <w:rPr>
                <w:sz w:val="20"/>
                <w:szCs w:val="20"/>
                <w:lang w:val="en-GB"/>
              </w:rPr>
              <w:t>Nepal</w:t>
            </w:r>
          </w:p>
        </w:tc>
        <w:tc>
          <w:tcPr>
            <w:tcW w:w="1697" w:type="dxa"/>
          </w:tcPr>
          <w:p w:rsidR="000E3793" w:rsidRPr="0031109A" w:rsidRDefault="000E3793" w:rsidP="001267F8">
            <w:pPr>
              <w:jc w:val="both"/>
              <w:rPr>
                <w:sz w:val="20"/>
                <w:szCs w:val="20"/>
                <w:lang w:val="en-GB"/>
              </w:rPr>
            </w:pPr>
            <w:r w:rsidRPr="0031109A">
              <w:rPr>
                <w:sz w:val="20"/>
                <w:szCs w:val="20"/>
                <w:lang w:val="en-GB"/>
              </w:rPr>
              <w:t>1257 (LDCs)</w:t>
            </w:r>
          </w:p>
          <w:p w:rsidR="000E3793" w:rsidRPr="0031109A" w:rsidRDefault="000E3793" w:rsidP="001267F8">
            <w:pPr>
              <w:jc w:val="both"/>
              <w:rPr>
                <w:sz w:val="20"/>
                <w:szCs w:val="20"/>
                <w:lang w:val="en-GB"/>
              </w:rPr>
            </w:pPr>
            <w:r w:rsidRPr="0031109A">
              <w:rPr>
                <w:sz w:val="20"/>
                <w:szCs w:val="20"/>
                <w:lang w:val="en-GB"/>
              </w:rPr>
              <w:t>1295 (NLDCs)</w:t>
            </w:r>
          </w:p>
        </w:tc>
        <w:tc>
          <w:tcPr>
            <w:tcW w:w="2276" w:type="dxa"/>
          </w:tcPr>
          <w:p w:rsidR="000E3793" w:rsidRPr="0031109A" w:rsidRDefault="000E3793" w:rsidP="001267F8">
            <w:pPr>
              <w:jc w:val="both"/>
              <w:rPr>
                <w:sz w:val="20"/>
                <w:szCs w:val="20"/>
                <w:lang w:val="en-GB"/>
              </w:rPr>
            </w:pPr>
            <w:r w:rsidRPr="0031109A">
              <w:rPr>
                <w:sz w:val="20"/>
                <w:szCs w:val="20"/>
                <w:lang w:val="en-GB"/>
              </w:rPr>
              <w:t>998 (LDCs)</w:t>
            </w:r>
          </w:p>
          <w:p w:rsidR="000E3793" w:rsidRPr="0031109A" w:rsidRDefault="000E3793" w:rsidP="001267F8">
            <w:pPr>
              <w:jc w:val="both"/>
              <w:rPr>
                <w:sz w:val="20"/>
                <w:szCs w:val="20"/>
                <w:lang w:val="en-GB"/>
              </w:rPr>
            </w:pPr>
            <w:r w:rsidRPr="0031109A">
              <w:rPr>
                <w:sz w:val="20"/>
                <w:szCs w:val="20"/>
                <w:lang w:val="en-GB"/>
              </w:rPr>
              <w:t>1036 (NLDCs)</w:t>
            </w:r>
          </w:p>
        </w:tc>
        <w:tc>
          <w:tcPr>
            <w:tcW w:w="2276" w:type="dxa"/>
          </w:tcPr>
          <w:p w:rsidR="000E3793" w:rsidRPr="0031109A" w:rsidRDefault="000E3793" w:rsidP="001267F8">
            <w:pPr>
              <w:jc w:val="center"/>
              <w:rPr>
                <w:b/>
                <w:sz w:val="20"/>
                <w:szCs w:val="20"/>
                <w:lang w:val="en-GB"/>
              </w:rPr>
            </w:pPr>
            <w:r w:rsidRPr="0031109A">
              <w:rPr>
                <w:b/>
                <w:sz w:val="20"/>
                <w:szCs w:val="20"/>
                <w:lang w:val="en-GB"/>
              </w:rPr>
              <w:t xml:space="preserve">Received  </w:t>
            </w:r>
          </w:p>
        </w:tc>
      </w:tr>
      <w:tr w:rsidR="000E3793" w:rsidRPr="0031109A" w:rsidTr="001267F8">
        <w:trPr>
          <w:jc w:val="center"/>
        </w:trPr>
        <w:tc>
          <w:tcPr>
            <w:tcW w:w="1391" w:type="dxa"/>
          </w:tcPr>
          <w:p w:rsidR="000E3793" w:rsidRPr="0031109A" w:rsidRDefault="000E3793" w:rsidP="001267F8">
            <w:pPr>
              <w:jc w:val="both"/>
              <w:rPr>
                <w:sz w:val="20"/>
                <w:szCs w:val="20"/>
                <w:lang w:val="en-GB"/>
              </w:rPr>
            </w:pPr>
            <w:r w:rsidRPr="0031109A">
              <w:rPr>
                <w:sz w:val="20"/>
                <w:szCs w:val="20"/>
                <w:lang w:val="en-GB"/>
              </w:rPr>
              <w:t>Pakistan</w:t>
            </w:r>
          </w:p>
        </w:tc>
        <w:tc>
          <w:tcPr>
            <w:tcW w:w="1697" w:type="dxa"/>
          </w:tcPr>
          <w:p w:rsidR="000E3793" w:rsidRPr="0031109A" w:rsidRDefault="000E3793" w:rsidP="001267F8">
            <w:pPr>
              <w:jc w:val="both"/>
              <w:rPr>
                <w:sz w:val="20"/>
                <w:szCs w:val="20"/>
                <w:lang w:val="en-GB"/>
              </w:rPr>
            </w:pPr>
            <w:r w:rsidRPr="0031109A">
              <w:rPr>
                <w:sz w:val="20"/>
                <w:szCs w:val="20"/>
                <w:lang w:val="en-GB"/>
              </w:rPr>
              <w:t>1169</w:t>
            </w:r>
          </w:p>
        </w:tc>
        <w:tc>
          <w:tcPr>
            <w:tcW w:w="2276" w:type="dxa"/>
          </w:tcPr>
          <w:p w:rsidR="000E3793" w:rsidRPr="0031109A" w:rsidRDefault="000E3793" w:rsidP="001267F8">
            <w:pPr>
              <w:jc w:val="both"/>
              <w:rPr>
                <w:sz w:val="20"/>
                <w:szCs w:val="20"/>
                <w:lang w:val="en-GB"/>
              </w:rPr>
            </w:pPr>
            <w:r w:rsidRPr="0031109A">
              <w:rPr>
                <w:sz w:val="20"/>
                <w:szCs w:val="20"/>
                <w:lang w:val="en-GB"/>
              </w:rPr>
              <w:t>936</w:t>
            </w:r>
          </w:p>
        </w:tc>
        <w:tc>
          <w:tcPr>
            <w:tcW w:w="2276" w:type="dxa"/>
          </w:tcPr>
          <w:p w:rsidR="000E3793" w:rsidRPr="0031109A" w:rsidRDefault="000E3793" w:rsidP="001267F8">
            <w:pPr>
              <w:jc w:val="center"/>
              <w:rPr>
                <w:b/>
                <w:sz w:val="20"/>
                <w:szCs w:val="20"/>
                <w:lang w:val="en-GB"/>
              </w:rPr>
            </w:pPr>
            <w:r w:rsidRPr="0031109A">
              <w:rPr>
                <w:b/>
                <w:sz w:val="20"/>
                <w:szCs w:val="20"/>
                <w:lang w:val="en-GB"/>
              </w:rPr>
              <w:t>Received</w:t>
            </w:r>
          </w:p>
        </w:tc>
      </w:tr>
      <w:tr w:rsidR="000E3793" w:rsidRPr="0031109A" w:rsidTr="001267F8">
        <w:trPr>
          <w:jc w:val="center"/>
        </w:trPr>
        <w:tc>
          <w:tcPr>
            <w:tcW w:w="1391" w:type="dxa"/>
          </w:tcPr>
          <w:p w:rsidR="000E3793" w:rsidRPr="0031109A" w:rsidRDefault="000E3793" w:rsidP="001267F8">
            <w:pPr>
              <w:jc w:val="both"/>
              <w:rPr>
                <w:sz w:val="20"/>
                <w:szCs w:val="20"/>
                <w:lang w:val="en-GB"/>
              </w:rPr>
            </w:pPr>
            <w:r w:rsidRPr="0031109A">
              <w:rPr>
                <w:sz w:val="20"/>
                <w:szCs w:val="20"/>
                <w:lang w:val="en-GB"/>
              </w:rPr>
              <w:t>Sri Lanka</w:t>
            </w:r>
          </w:p>
        </w:tc>
        <w:tc>
          <w:tcPr>
            <w:tcW w:w="1697" w:type="dxa"/>
          </w:tcPr>
          <w:p w:rsidR="000E3793" w:rsidRPr="0031109A" w:rsidRDefault="000E3793" w:rsidP="001267F8">
            <w:pPr>
              <w:jc w:val="both"/>
              <w:rPr>
                <w:sz w:val="20"/>
                <w:szCs w:val="20"/>
                <w:lang w:val="en-GB"/>
              </w:rPr>
            </w:pPr>
            <w:r w:rsidRPr="0031109A">
              <w:rPr>
                <w:sz w:val="20"/>
                <w:szCs w:val="20"/>
                <w:lang w:val="en-GB"/>
              </w:rPr>
              <w:t xml:space="preserve">1042 </w:t>
            </w:r>
          </w:p>
        </w:tc>
        <w:tc>
          <w:tcPr>
            <w:tcW w:w="2276" w:type="dxa"/>
          </w:tcPr>
          <w:p w:rsidR="000E3793" w:rsidRPr="0031109A" w:rsidRDefault="000E3793" w:rsidP="001267F8">
            <w:pPr>
              <w:jc w:val="both"/>
              <w:rPr>
                <w:bCs/>
                <w:sz w:val="20"/>
                <w:szCs w:val="20"/>
                <w:lang w:val="en-GB"/>
              </w:rPr>
            </w:pPr>
            <w:r w:rsidRPr="0031109A">
              <w:rPr>
                <w:bCs/>
                <w:sz w:val="20"/>
                <w:szCs w:val="20"/>
                <w:lang w:val="en-GB"/>
              </w:rPr>
              <w:t>837 (LDCs)</w:t>
            </w:r>
          </w:p>
          <w:p w:rsidR="000E3793" w:rsidRPr="0031109A" w:rsidRDefault="000E3793" w:rsidP="001267F8">
            <w:pPr>
              <w:jc w:val="both"/>
              <w:rPr>
                <w:sz w:val="20"/>
                <w:szCs w:val="20"/>
                <w:lang w:val="en-GB"/>
              </w:rPr>
            </w:pPr>
            <w:r w:rsidRPr="0031109A">
              <w:rPr>
                <w:bCs/>
                <w:sz w:val="20"/>
                <w:szCs w:val="20"/>
                <w:lang w:val="en-GB"/>
              </w:rPr>
              <w:t>963 (NLDCs)</w:t>
            </w:r>
          </w:p>
        </w:tc>
        <w:tc>
          <w:tcPr>
            <w:tcW w:w="2276" w:type="dxa"/>
          </w:tcPr>
          <w:p w:rsidR="000E3793" w:rsidRPr="0031109A" w:rsidRDefault="000E3793" w:rsidP="001267F8">
            <w:pPr>
              <w:jc w:val="center"/>
              <w:rPr>
                <w:b/>
                <w:sz w:val="20"/>
                <w:szCs w:val="20"/>
                <w:lang w:val="en-GB"/>
              </w:rPr>
            </w:pPr>
            <w:r w:rsidRPr="0031109A">
              <w:rPr>
                <w:b/>
                <w:sz w:val="20"/>
                <w:szCs w:val="20"/>
                <w:lang w:val="en-GB"/>
              </w:rPr>
              <w:t>Received</w:t>
            </w:r>
          </w:p>
        </w:tc>
      </w:tr>
    </w:tbl>
    <w:p w:rsidR="000E3793" w:rsidRPr="00B060F3" w:rsidRDefault="000E3793" w:rsidP="000E3793">
      <w:pPr>
        <w:jc w:val="both"/>
        <w:rPr>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The Phase-II reduction in the Sensitive Lists has already been implemented by all Member States.</w:t>
      </w:r>
    </w:p>
    <w:p w:rsidR="000E3793" w:rsidRPr="00B060F3" w:rsidRDefault="000E3793" w:rsidP="000E3793">
      <w:pPr>
        <w:pStyle w:val="ListParagraph"/>
        <w:suppressAutoHyphens w:val="0"/>
        <w:ind w:left="0"/>
        <w:jc w:val="both"/>
        <w:rPr>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The Third Meeting of Working Group on Reduction in the Sensitive Lists under SAFTA (Phase-III) was held in Islamabad on 6 July 2015. It considered the matter relating to further reduction in the Sensitive Lists under SAFTA (Phase-III). The delegations from Member States agreed to the following reduction in the products covered in their Sensitive Lists under Phase-III:</w:t>
      </w:r>
    </w:p>
    <w:p w:rsidR="000E3793" w:rsidRPr="00B060F3" w:rsidRDefault="000E3793" w:rsidP="000E3793">
      <w:pPr>
        <w:tabs>
          <w:tab w:val="left" w:pos="180"/>
        </w:tabs>
        <w:ind w:left="900" w:right="209" w:hanging="540"/>
        <w:jc w:val="both"/>
        <w:rPr>
          <w:b/>
          <w:bCs/>
          <w:lang w:val="en-GB"/>
        </w:rPr>
      </w:pPr>
      <w:r w:rsidRPr="00B060F3">
        <w:rPr>
          <w:b/>
          <w:bCs/>
          <w:lang w:val="en-GB"/>
        </w:rPr>
        <w:t xml:space="preserve"> </w:t>
      </w:r>
    </w:p>
    <w:tbl>
      <w:tblPr>
        <w:tblW w:w="3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3"/>
        <w:gridCol w:w="2252"/>
      </w:tblGrid>
      <w:tr w:rsidR="000E3793" w:rsidRPr="0031109A" w:rsidTr="001267F8">
        <w:trPr>
          <w:jc w:val="center"/>
        </w:trPr>
        <w:tc>
          <w:tcPr>
            <w:tcW w:w="1683" w:type="dxa"/>
            <w:shd w:val="clear" w:color="auto" w:fill="auto"/>
          </w:tcPr>
          <w:p w:rsidR="000E3793" w:rsidRPr="0031109A" w:rsidRDefault="000E3793" w:rsidP="001267F8">
            <w:pPr>
              <w:jc w:val="center"/>
              <w:rPr>
                <w:b/>
                <w:sz w:val="20"/>
                <w:szCs w:val="20"/>
                <w:lang w:val="en-GB"/>
              </w:rPr>
            </w:pPr>
            <w:r w:rsidRPr="0031109A">
              <w:rPr>
                <w:b/>
                <w:sz w:val="20"/>
                <w:szCs w:val="20"/>
                <w:lang w:val="en-GB"/>
              </w:rPr>
              <w:t>Member State</w:t>
            </w:r>
          </w:p>
        </w:tc>
        <w:tc>
          <w:tcPr>
            <w:tcW w:w="2252" w:type="dxa"/>
            <w:shd w:val="clear" w:color="auto" w:fill="auto"/>
          </w:tcPr>
          <w:p w:rsidR="000E3793" w:rsidRPr="0031109A" w:rsidRDefault="000E3793" w:rsidP="001267F8">
            <w:pPr>
              <w:jc w:val="center"/>
              <w:rPr>
                <w:b/>
                <w:sz w:val="20"/>
                <w:szCs w:val="20"/>
                <w:lang w:val="en-GB"/>
              </w:rPr>
            </w:pPr>
            <w:r w:rsidRPr="0031109A">
              <w:rPr>
                <w:b/>
                <w:sz w:val="20"/>
                <w:szCs w:val="20"/>
                <w:lang w:val="en-GB"/>
              </w:rPr>
              <w:t xml:space="preserve">Percentage Reduction </w:t>
            </w:r>
          </w:p>
        </w:tc>
      </w:tr>
      <w:tr w:rsidR="000E3793" w:rsidRPr="0031109A" w:rsidTr="001267F8">
        <w:trPr>
          <w:trHeight w:val="251"/>
          <w:jc w:val="center"/>
        </w:trPr>
        <w:tc>
          <w:tcPr>
            <w:tcW w:w="1683" w:type="dxa"/>
          </w:tcPr>
          <w:p w:rsidR="000E3793" w:rsidRPr="0031109A" w:rsidRDefault="000E3793" w:rsidP="001267F8">
            <w:pPr>
              <w:jc w:val="center"/>
              <w:rPr>
                <w:sz w:val="20"/>
                <w:szCs w:val="20"/>
                <w:lang w:val="en-GB"/>
              </w:rPr>
            </w:pPr>
            <w:r w:rsidRPr="0031109A">
              <w:rPr>
                <w:sz w:val="20"/>
                <w:szCs w:val="20"/>
                <w:lang w:val="en-GB"/>
              </w:rPr>
              <w:t>(1)</w:t>
            </w:r>
          </w:p>
        </w:tc>
        <w:tc>
          <w:tcPr>
            <w:tcW w:w="2252" w:type="dxa"/>
          </w:tcPr>
          <w:p w:rsidR="000E3793" w:rsidRPr="0031109A" w:rsidRDefault="000E3793" w:rsidP="001267F8">
            <w:pPr>
              <w:jc w:val="center"/>
              <w:rPr>
                <w:sz w:val="20"/>
                <w:szCs w:val="20"/>
                <w:lang w:val="en-GB"/>
              </w:rPr>
            </w:pPr>
            <w:r w:rsidRPr="0031109A">
              <w:rPr>
                <w:sz w:val="20"/>
                <w:szCs w:val="20"/>
                <w:lang w:val="en-GB"/>
              </w:rPr>
              <w:t>(2)</w:t>
            </w:r>
          </w:p>
        </w:tc>
      </w:tr>
      <w:tr w:rsidR="000E3793" w:rsidRPr="0031109A" w:rsidTr="001267F8">
        <w:trPr>
          <w:jc w:val="center"/>
        </w:trPr>
        <w:tc>
          <w:tcPr>
            <w:tcW w:w="1683" w:type="dxa"/>
          </w:tcPr>
          <w:p w:rsidR="000E3793" w:rsidRPr="0031109A" w:rsidRDefault="000E3793" w:rsidP="001267F8">
            <w:pPr>
              <w:jc w:val="both"/>
              <w:rPr>
                <w:sz w:val="20"/>
                <w:szCs w:val="20"/>
                <w:lang w:val="en-GB"/>
              </w:rPr>
            </w:pPr>
            <w:r w:rsidRPr="0031109A">
              <w:rPr>
                <w:sz w:val="20"/>
                <w:szCs w:val="20"/>
                <w:lang w:val="en-GB"/>
              </w:rPr>
              <w:t>Afghanistan</w:t>
            </w:r>
          </w:p>
        </w:tc>
        <w:tc>
          <w:tcPr>
            <w:tcW w:w="2252" w:type="dxa"/>
          </w:tcPr>
          <w:p w:rsidR="000E3793" w:rsidRPr="0031109A" w:rsidRDefault="000E3793" w:rsidP="001267F8">
            <w:pPr>
              <w:jc w:val="both"/>
              <w:rPr>
                <w:sz w:val="20"/>
                <w:szCs w:val="20"/>
                <w:lang w:val="en-GB"/>
              </w:rPr>
            </w:pPr>
            <w:r w:rsidRPr="0031109A">
              <w:rPr>
                <w:sz w:val="20"/>
                <w:szCs w:val="20"/>
                <w:lang w:val="en-GB"/>
              </w:rPr>
              <w:t>20 %</w:t>
            </w:r>
          </w:p>
        </w:tc>
      </w:tr>
      <w:tr w:rsidR="000E3793" w:rsidRPr="0031109A" w:rsidTr="001267F8">
        <w:trPr>
          <w:jc w:val="center"/>
        </w:trPr>
        <w:tc>
          <w:tcPr>
            <w:tcW w:w="1683" w:type="dxa"/>
          </w:tcPr>
          <w:p w:rsidR="000E3793" w:rsidRPr="0031109A" w:rsidRDefault="000E3793" w:rsidP="001267F8">
            <w:pPr>
              <w:jc w:val="both"/>
              <w:rPr>
                <w:sz w:val="20"/>
                <w:szCs w:val="20"/>
                <w:lang w:val="en-GB"/>
              </w:rPr>
            </w:pPr>
            <w:r w:rsidRPr="0031109A">
              <w:rPr>
                <w:sz w:val="20"/>
                <w:szCs w:val="20"/>
                <w:lang w:val="en-GB"/>
              </w:rPr>
              <w:t>Bangladesh</w:t>
            </w:r>
          </w:p>
        </w:tc>
        <w:tc>
          <w:tcPr>
            <w:tcW w:w="2252" w:type="dxa"/>
          </w:tcPr>
          <w:p w:rsidR="000E3793" w:rsidRPr="0031109A" w:rsidRDefault="000E3793" w:rsidP="001267F8">
            <w:pPr>
              <w:rPr>
                <w:sz w:val="20"/>
                <w:szCs w:val="20"/>
                <w:lang w:val="en-GB"/>
              </w:rPr>
            </w:pPr>
            <w:r w:rsidRPr="0031109A">
              <w:rPr>
                <w:sz w:val="20"/>
                <w:szCs w:val="20"/>
                <w:lang w:val="en-GB"/>
              </w:rPr>
              <w:t>20 %</w:t>
            </w:r>
          </w:p>
        </w:tc>
      </w:tr>
      <w:tr w:rsidR="000E3793" w:rsidRPr="0031109A" w:rsidTr="001267F8">
        <w:trPr>
          <w:jc w:val="center"/>
        </w:trPr>
        <w:tc>
          <w:tcPr>
            <w:tcW w:w="1683" w:type="dxa"/>
          </w:tcPr>
          <w:p w:rsidR="000E3793" w:rsidRPr="0031109A" w:rsidRDefault="000E3793" w:rsidP="001267F8">
            <w:pPr>
              <w:jc w:val="both"/>
              <w:rPr>
                <w:sz w:val="20"/>
                <w:szCs w:val="20"/>
                <w:lang w:val="en-GB"/>
              </w:rPr>
            </w:pPr>
            <w:r w:rsidRPr="0031109A">
              <w:rPr>
                <w:sz w:val="20"/>
                <w:szCs w:val="20"/>
                <w:lang w:val="en-GB"/>
              </w:rPr>
              <w:t>Bhutan</w:t>
            </w:r>
          </w:p>
        </w:tc>
        <w:tc>
          <w:tcPr>
            <w:tcW w:w="2252" w:type="dxa"/>
          </w:tcPr>
          <w:p w:rsidR="000E3793" w:rsidRPr="0031109A" w:rsidRDefault="000E3793" w:rsidP="001267F8">
            <w:pPr>
              <w:rPr>
                <w:sz w:val="20"/>
                <w:szCs w:val="20"/>
                <w:lang w:val="en-GB"/>
              </w:rPr>
            </w:pPr>
            <w:r w:rsidRPr="0031109A">
              <w:rPr>
                <w:sz w:val="20"/>
                <w:szCs w:val="20"/>
                <w:lang w:val="en-GB"/>
              </w:rPr>
              <w:t>Not Applicable</w:t>
            </w:r>
          </w:p>
        </w:tc>
      </w:tr>
      <w:tr w:rsidR="000E3793" w:rsidRPr="0031109A" w:rsidTr="001267F8">
        <w:trPr>
          <w:jc w:val="center"/>
        </w:trPr>
        <w:tc>
          <w:tcPr>
            <w:tcW w:w="1683" w:type="dxa"/>
          </w:tcPr>
          <w:p w:rsidR="000E3793" w:rsidRPr="0031109A" w:rsidRDefault="000E3793" w:rsidP="001267F8">
            <w:pPr>
              <w:jc w:val="both"/>
              <w:rPr>
                <w:sz w:val="20"/>
                <w:szCs w:val="20"/>
                <w:lang w:val="en-GB"/>
              </w:rPr>
            </w:pPr>
            <w:r w:rsidRPr="0031109A">
              <w:rPr>
                <w:sz w:val="20"/>
                <w:szCs w:val="20"/>
                <w:lang w:val="en-GB"/>
              </w:rPr>
              <w:t>India</w:t>
            </w:r>
          </w:p>
        </w:tc>
        <w:tc>
          <w:tcPr>
            <w:tcW w:w="2252" w:type="dxa"/>
          </w:tcPr>
          <w:p w:rsidR="000E3793" w:rsidRPr="0031109A" w:rsidRDefault="000E3793" w:rsidP="001267F8">
            <w:pPr>
              <w:rPr>
                <w:sz w:val="20"/>
                <w:szCs w:val="20"/>
                <w:lang w:val="en-GB"/>
              </w:rPr>
            </w:pPr>
            <w:r w:rsidRPr="0031109A">
              <w:rPr>
                <w:sz w:val="20"/>
                <w:szCs w:val="20"/>
                <w:lang w:val="en-GB"/>
              </w:rPr>
              <w:t>20 % for NLDCs only</w:t>
            </w:r>
          </w:p>
        </w:tc>
      </w:tr>
      <w:tr w:rsidR="000E3793" w:rsidRPr="0031109A" w:rsidTr="001267F8">
        <w:trPr>
          <w:jc w:val="center"/>
        </w:trPr>
        <w:tc>
          <w:tcPr>
            <w:tcW w:w="1683" w:type="dxa"/>
          </w:tcPr>
          <w:p w:rsidR="000E3793" w:rsidRPr="0031109A" w:rsidRDefault="000E3793" w:rsidP="001267F8">
            <w:pPr>
              <w:jc w:val="both"/>
              <w:rPr>
                <w:sz w:val="20"/>
                <w:szCs w:val="20"/>
                <w:lang w:val="en-GB"/>
              </w:rPr>
            </w:pPr>
            <w:r w:rsidRPr="0031109A">
              <w:rPr>
                <w:sz w:val="20"/>
                <w:szCs w:val="20"/>
                <w:lang w:val="en-GB"/>
              </w:rPr>
              <w:t>Maldives</w:t>
            </w:r>
          </w:p>
        </w:tc>
        <w:tc>
          <w:tcPr>
            <w:tcW w:w="2252" w:type="dxa"/>
          </w:tcPr>
          <w:p w:rsidR="000E3793" w:rsidRPr="0031109A" w:rsidRDefault="000E3793" w:rsidP="001267F8">
            <w:pPr>
              <w:rPr>
                <w:sz w:val="20"/>
                <w:szCs w:val="20"/>
                <w:lang w:val="en-GB"/>
              </w:rPr>
            </w:pPr>
            <w:r w:rsidRPr="0031109A">
              <w:rPr>
                <w:sz w:val="20"/>
                <w:szCs w:val="20"/>
                <w:lang w:val="en-GB"/>
              </w:rPr>
              <w:t>Not Applicable</w:t>
            </w:r>
          </w:p>
        </w:tc>
      </w:tr>
      <w:tr w:rsidR="000E3793" w:rsidRPr="0031109A" w:rsidTr="001267F8">
        <w:trPr>
          <w:jc w:val="center"/>
        </w:trPr>
        <w:tc>
          <w:tcPr>
            <w:tcW w:w="1683" w:type="dxa"/>
          </w:tcPr>
          <w:p w:rsidR="000E3793" w:rsidRPr="0031109A" w:rsidRDefault="000E3793" w:rsidP="001267F8">
            <w:pPr>
              <w:jc w:val="both"/>
              <w:rPr>
                <w:sz w:val="20"/>
                <w:szCs w:val="20"/>
                <w:lang w:val="en-GB"/>
              </w:rPr>
            </w:pPr>
            <w:r w:rsidRPr="0031109A">
              <w:rPr>
                <w:sz w:val="20"/>
                <w:szCs w:val="20"/>
                <w:lang w:val="en-GB"/>
              </w:rPr>
              <w:t>Nepal</w:t>
            </w:r>
          </w:p>
        </w:tc>
        <w:tc>
          <w:tcPr>
            <w:tcW w:w="2252" w:type="dxa"/>
          </w:tcPr>
          <w:p w:rsidR="000E3793" w:rsidRPr="0031109A" w:rsidRDefault="000E3793" w:rsidP="001267F8">
            <w:pPr>
              <w:rPr>
                <w:sz w:val="20"/>
                <w:szCs w:val="20"/>
                <w:lang w:val="en-GB"/>
              </w:rPr>
            </w:pPr>
            <w:r w:rsidRPr="0031109A">
              <w:rPr>
                <w:sz w:val="20"/>
                <w:szCs w:val="20"/>
                <w:lang w:val="en-GB"/>
              </w:rPr>
              <w:t>20 %</w:t>
            </w:r>
          </w:p>
        </w:tc>
      </w:tr>
      <w:tr w:rsidR="000E3793" w:rsidRPr="0031109A" w:rsidTr="001267F8">
        <w:trPr>
          <w:jc w:val="center"/>
        </w:trPr>
        <w:tc>
          <w:tcPr>
            <w:tcW w:w="1683" w:type="dxa"/>
          </w:tcPr>
          <w:p w:rsidR="000E3793" w:rsidRPr="0031109A" w:rsidRDefault="000E3793" w:rsidP="001267F8">
            <w:pPr>
              <w:jc w:val="both"/>
              <w:rPr>
                <w:sz w:val="20"/>
                <w:szCs w:val="20"/>
                <w:lang w:val="en-GB"/>
              </w:rPr>
            </w:pPr>
            <w:r w:rsidRPr="0031109A">
              <w:rPr>
                <w:sz w:val="20"/>
                <w:szCs w:val="20"/>
                <w:lang w:val="en-GB"/>
              </w:rPr>
              <w:t>Pakistan</w:t>
            </w:r>
          </w:p>
        </w:tc>
        <w:tc>
          <w:tcPr>
            <w:tcW w:w="2252" w:type="dxa"/>
          </w:tcPr>
          <w:p w:rsidR="000E3793" w:rsidRPr="0031109A" w:rsidRDefault="000E3793" w:rsidP="001267F8">
            <w:pPr>
              <w:rPr>
                <w:sz w:val="20"/>
                <w:szCs w:val="20"/>
                <w:lang w:val="en-GB"/>
              </w:rPr>
            </w:pPr>
            <w:r w:rsidRPr="0031109A">
              <w:rPr>
                <w:sz w:val="20"/>
                <w:szCs w:val="20"/>
                <w:lang w:val="en-GB"/>
              </w:rPr>
              <w:t>20 %</w:t>
            </w:r>
          </w:p>
        </w:tc>
      </w:tr>
      <w:tr w:rsidR="000E3793" w:rsidRPr="0031109A" w:rsidTr="001267F8">
        <w:trPr>
          <w:jc w:val="center"/>
        </w:trPr>
        <w:tc>
          <w:tcPr>
            <w:tcW w:w="1683" w:type="dxa"/>
          </w:tcPr>
          <w:p w:rsidR="000E3793" w:rsidRPr="0031109A" w:rsidRDefault="000E3793" w:rsidP="001267F8">
            <w:pPr>
              <w:jc w:val="both"/>
              <w:rPr>
                <w:sz w:val="20"/>
                <w:szCs w:val="20"/>
                <w:lang w:val="en-GB"/>
              </w:rPr>
            </w:pPr>
            <w:r w:rsidRPr="0031109A">
              <w:rPr>
                <w:sz w:val="20"/>
                <w:szCs w:val="20"/>
                <w:lang w:val="en-GB"/>
              </w:rPr>
              <w:t>Sri Lanka</w:t>
            </w:r>
          </w:p>
        </w:tc>
        <w:tc>
          <w:tcPr>
            <w:tcW w:w="2252" w:type="dxa"/>
          </w:tcPr>
          <w:p w:rsidR="000E3793" w:rsidRPr="0031109A" w:rsidRDefault="000E3793" w:rsidP="001267F8">
            <w:pPr>
              <w:rPr>
                <w:sz w:val="20"/>
                <w:szCs w:val="20"/>
                <w:lang w:val="en-GB"/>
              </w:rPr>
            </w:pPr>
            <w:r w:rsidRPr="0031109A">
              <w:rPr>
                <w:sz w:val="20"/>
                <w:szCs w:val="20"/>
                <w:lang w:val="en-GB"/>
              </w:rPr>
              <w:t>10 %</w:t>
            </w:r>
          </w:p>
        </w:tc>
      </w:tr>
    </w:tbl>
    <w:p w:rsidR="000E3793" w:rsidRPr="00B060F3" w:rsidRDefault="000E3793" w:rsidP="000E3793">
      <w:pPr>
        <w:tabs>
          <w:tab w:val="left" w:pos="180"/>
        </w:tabs>
        <w:ind w:right="209"/>
        <w:jc w:val="both"/>
        <w:rPr>
          <w:bCs/>
          <w:lang w:val="en-GB"/>
        </w:rPr>
      </w:pPr>
    </w:p>
    <w:p w:rsidR="000E3793" w:rsidRPr="00B060F3" w:rsidRDefault="000E3793" w:rsidP="000E3793">
      <w:pPr>
        <w:pStyle w:val="ListParagraph"/>
        <w:numPr>
          <w:ilvl w:val="0"/>
          <w:numId w:val="1"/>
        </w:numPr>
        <w:suppressAutoHyphens w:val="0"/>
        <w:ind w:left="0" w:firstLine="0"/>
        <w:jc w:val="both"/>
        <w:rPr>
          <w:lang w:val="en-GB"/>
        </w:rPr>
      </w:pPr>
      <w:r w:rsidRPr="00B060F3">
        <w:rPr>
          <w:lang w:val="en-GB"/>
        </w:rPr>
        <w:t>The delegation of Sri Lanka agreed to discuss the matter further with their stakeholders so that they could also agree to go beyond 10% reduction.</w:t>
      </w:r>
    </w:p>
    <w:p w:rsidR="002D0A51" w:rsidRDefault="000E3793"/>
    <w:sectPr w:rsidR="002D0A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63043"/>
    <w:multiLevelType w:val="hybridMultilevel"/>
    <w:tmpl w:val="99B06B86"/>
    <w:lvl w:ilvl="0" w:tplc="5E788C6A">
      <w:start w:val="1"/>
      <w:numFmt w:val="decimal"/>
      <w:lvlText w:val="%1."/>
      <w:lvlJc w:val="left"/>
      <w:pPr>
        <w:ind w:left="540" w:hanging="360"/>
      </w:pPr>
      <w:rPr>
        <w:rFonts w:hint="default"/>
        <w:b w:val="0"/>
        <w:bCs w:val="0"/>
        <w:i w:val="0"/>
        <w:iCs w:val="0"/>
        <w:strike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93"/>
    <w:rsid w:val="000E3793"/>
    <w:rsid w:val="00345574"/>
    <w:rsid w:val="003E75A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283B6-DB4D-4A76-B5B1-5D991FD44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93"/>
    <w:pPr>
      <w:spacing w:after="0" w:line="240" w:lineRule="auto"/>
    </w:pPr>
    <w:rPr>
      <w:rFonts w:ascii="Times New Roman" w:eastAsia="Times New Roman" w:hAnsi="Times New Roman" w:cs="Times New Roman"/>
      <w:sz w:val="24"/>
      <w:szCs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E3793"/>
    <w:pPr>
      <w:jc w:val="right"/>
    </w:pPr>
    <w:rPr>
      <w:rFonts w:ascii="Arial" w:hAnsi="Arial"/>
      <w:b/>
      <w:sz w:val="28"/>
      <w:szCs w:val="20"/>
      <w:lang w:val="en-US"/>
    </w:rPr>
  </w:style>
  <w:style w:type="character" w:customStyle="1" w:styleId="BodyTextChar">
    <w:name w:val="Body Text Char"/>
    <w:basedOn w:val="DefaultParagraphFont"/>
    <w:link w:val="BodyText"/>
    <w:rsid w:val="000E3793"/>
    <w:rPr>
      <w:rFonts w:ascii="Arial" w:eastAsia="Times New Roman" w:hAnsi="Arial" w:cs="Times New Roman"/>
      <w:b/>
      <w:sz w:val="28"/>
      <w:szCs w:val="20"/>
    </w:rPr>
  </w:style>
  <w:style w:type="paragraph" w:styleId="NormalWeb">
    <w:name w:val="Normal (Web)"/>
    <w:basedOn w:val="Normal"/>
    <w:uiPriority w:val="99"/>
    <w:rsid w:val="000E3793"/>
    <w:pPr>
      <w:spacing w:before="100" w:beforeAutospacing="1" w:after="100" w:afterAutospacing="1"/>
    </w:pPr>
    <w:rPr>
      <w:lang w:val="en-US"/>
    </w:rPr>
  </w:style>
  <w:style w:type="paragraph" w:styleId="ListParagraph">
    <w:name w:val="List Paragraph"/>
    <w:basedOn w:val="Normal"/>
    <w:qFormat/>
    <w:rsid w:val="000E3793"/>
    <w:pPr>
      <w:suppressAutoHyphens/>
      <w:ind w:left="720"/>
    </w:pPr>
    <w:rPr>
      <w:rFonts w:eastAsia="Calibri"/>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7541</Characters>
  <Application>Microsoft Office Word</Application>
  <DocSecurity>0</DocSecurity>
  <Lines>62</Lines>
  <Paragraphs>17</Paragraphs>
  <ScaleCrop>false</ScaleCrop>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Dinesh Dawadi</dc:creator>
  <cp:keywords/>
  <dc:description/>
  <cp:lastModifiedBy>Dinesh Dawadi</cp:lastModifiedBy>
  <cp:revision>1</cp:revision>
  <dcterms:created xsi:type="dcterms:W3CDTF">2017-04-10T06:29:00Z</dcterms:created>
  <dcterms:modified xsi:type="dcterms:W3CDTF">2017-04-10T06:29:00Z</dcterms:modified>
</cp:coreProperties>
</file>